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924" w:rsidRDefault="00D74924" w:rsidP="00D74924">
      <w:pPr>
        <w:jc w:val="center"/>
        <w:rPr>
          <w:rFonts w:ascii="Arial" w:hAnsi="Arial" w:cs="Arial"/>
          <w:b/>
          <w:bCs/>
          <w:color w:val="000000"/>
          <w:sz w:val="20"/>
          <w:szCs w:val="20"/>
        </w:rPr>
      </w:pPr>
      <w:bookmarkStart w:id="0" w:name="_GoBack"/>
      <w:bookmarkEnd w:id="0"/>
      <w:r w:rsidRPr="00D74924">
        <w:rPr>
          <w:rFonts w:ascii="Arial" w:hAnsi="Arial" w:cs="Arial"/>
          <w:b/>
          <w:bCs/>
          <w:color w:val="000000"/>
          <w:sz w:val="20"/>
          <w:szCs w:val="20"/>
        </w:rPr>
        <w:t>Cooperative Banking Principles, Laws and Practices</w:t>
      </w:r>
    </w:p>
    <w:p w:rsidR="00D74924" w:rsidRDefault="00D74924" w:rsidP="00D74924">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D74924" w:rsidTr="00D74924">
        <w:tc>
          <w:tcPr>
            <w:tcW w:w="704" w:type="dxa"/>
          </w:tcPr>
          <w:p w:rsidR="00D74924" w:rsidRPr="00D74924" w:rsidRDefault="00D74924" w:rsidP="00D74924">
            <w:pPr>
              <w:jc w:val="center"/>
              <w:rPr>
                <w:rFonts w:ascii="Arial" w:hAnsi="Arial" w:cs="Arial"/>
                <w:b/>
                <w:bCs/>
                <w:color w:val="000000"/>
                <w:sz w:val="18"/>
                <w:szCs w:val="18"/>
              </w:rPr>
            </w:pPr>
            <w:proofErr w:type="spellStart"/>
            <w:r w:rsidRPr="00D74924">
              <w:rPr>
                <w:rFonts w:ascii="Arial" w:hAnsi="Arial" w:cs="Arial"/>
                <w:b/>
                <w:bCs/>
                <w:color w:val="000000"/>
                <w:sz w:val="18"/>
                <w:szCs w:val="18"/>
              </w:rPr>
              <w:t>Sr.No</w:t>
            </w:r>
            <w:proofErr w:type="spellEnd"/>
            <w:r w:rsidRPr="00D74924">
              <w:rPr>
                <w:rFonts w:ascii="Arial" w:hAnsi="Arial" w:cs="Arial"/>
                <w:b/>
                <w:bCs/>
                <w:color w:val="000000"/>
                <w:sz w:val="18"/>
                <w:szCs w:val="18"/>
              </w:rPr>
              <w:t>.</w:t>
            </w:r>
          </w:p>
        </w:tc>
        <w:tc>
          <w:tcPr>
            <w:tcW w:w="8312" w:type="dxa"/>
          </w:tcPr>
          <w:p w:rsidR="00D74924" w:rsidRPr="00D74924" w:rsidRDefault="00D74924" w:rsidP="00D74924">
            <w:pPr>
              <w:jc w:val="center"/>
              <w:rPr>
                <w:rFonts w:ascii="Arial" w:hAnsi="Arial" w:cs="Arial"/>
                <w:b/>
                <w:bCs/>
                <w:color w:val="000000"/>
                <w:sz w:val="18"/>
                <w:szCs w:val="18"/>
              </w:rPr>
            </w:pPr>
            <w:r w:rsidRPr="00D74924">
              <w:rPr>
                <w:rFonts w:ascii="Arial" w:hAnsi="Arial" w:cs="Arial"/>
                <w:b/>
                <w:bCs/>
                <w:color w:val="000000"/>
                <w:sz w:val="18"/>
                <w:szCs w:val="18"/>
              </w:rPr>
              <w:t>RBI Notifications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rsidR="00D74924" w:rsidRDefault="00D74924" w:rsidP="00D74924">
            <w:pPr>
              <w:spacing w:line="240" w:lineRule="auto"/>
              <w:rPr>
                <w:rFonts w:ascii="Calibri" w:hAnsi="Calibri" w:cs="Calibri"/>
                <w:sz w:val="20"/>
                <w:szCs w:val="20"/>
              </w:rPr>
            </w:pPr>
            <w:r>
              <w:rPr>
                <w:rFonts w:ascii="Calibri" w:hAnsi="Calibri" w:cs="Calibri"/>
                <w:sz w:val="20"/>
                <w:szCs w:val="20"/>
              </w:rPr>
              <w:t xml:space="preserve">Periodic </w:t>
            </w:r>
            <w:proofErr w:type="spellStart"/>
            <w:r>
              <w:rPr>
                <w:rFonts w:ascii="Calibri" w:hAnsi="Calibri" w:cs="Calibri"/>
                <w:sz w:val="20"/>
                <w:szCs w:val="20"/>
              </w:rPr>
              <w:t>Updation</w:t>
            </w:r>
            <w:proofErr w:type="spellEnd"/>
            <w:r>
              <w:rPr>
                <w:rFonts w:ascii="Calibri" w:hAnsi="Calibri" w:cs="Calibri"/>
                <w:sz w:val="20"/>
                <w:szCs w:val="20"/>
              </w:rPr>
              <w:t xml:space="preserve"> of KYC – Restrictions on Account Operations for Non-compliance</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2</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3</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Integrated Ombudsman Scheme, 2021</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4</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Master Circular- Guarantees, Co-Acceptances &amp; Letters of Credit - UCBs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5</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Master Circular- Income Recognition, Asset Classification, Provisioning and Other Related Matters – UCBs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6</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Opening of Current Accounts by Banks - Need for Discipline</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7</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Master Circular - Prudential norms on Income Recognition, Asset Classification and Provisioning pertaining to Advances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8</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9</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Master Circular on Investments by Primary (Urban) Co-operative Banks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10</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Monitoring of Availability of Cash in ATMs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11</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Enhancement of collateral free loans to Self Help Groups (SHGs) under DAY-NRLM from ₹10 lakh to ₹20 Lakh</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12</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Extension of Relaxation</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13</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Guidelines for Implementation of the circular on Opening of Current Accounts by Banks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14</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Cassette - Swaps in ATMs</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15</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New Definition of Micro, Small and Medium Enterprises - Addition of Retail and Wholesale Trade</w:t>
            </w:r>
          </w:p>
        </w:tc>
      </w:tr>
      <w:tr w:rsidR="00D74924" w:rsidTr="00300B6B">
        <w:tc>
          <w:tcPr>
            <w:tcW w:w="704" w:type="dxa"/>
          </w:tcPr>
          <w:p w:rsidR="00D74924" w:rsidRPr="00D74924" w:rsidRDefault="00D74924" w:rsidP="00D74924">
            <w:pPr>
              <w:jc w:val="center"/>
              <w:rPr>
                <w:rFonts w:cstheme="minorHAnsi"/>
                <w:bCs/>
                <w:color w:val="000000"/>
                <w:sz w:val="20"/>
                <w:szCs w:val="20"/>
              </w:rPr>
            </w:pPr>
            <w:r w:rsidRPr="00D74924">
              <w:rPr>
                <w:rFonts w:cstheme="minorHAnsi"/>
                <w:bCs/>
                <w:color w:val="000000"/>
                <w:sz w:val="20"/>
                <w:szCs w:val="20"/>
              </w:rPr>
              <w:t>16</w:t>
            </w:r>
          </w:p>
        </w:tc>
        <w:tc>
          <w:tcPr>
            <w:tcW w:w="8312" w:type="dxa"/>
            <w:tcBorders>
              <w:top w:val="nil"/>
              <w:left w:val="single" w:sz="4" w:space="0" w:color="auto"/>
              <w:bottom w:val="single" w:sz="4" w:space="0" w:color="auto"/>
              <w:right w:val="single" w:sz="4" w:space="0" w:color="auto"/>
            </w:tcBorders>
            <w:shd w:val="clear" w:color="auto" w:fill="auto"/>
            <w:vAlign w:val="center"/>
          </w:tcPr>
          <w:p w:rsidR="00D74924" w:rsidRDefault="00D74924" w:rsidP="00D74924">
            <w:pPr>
              <w:rPr>
                <w:rFonts w:ascii="Calibri" w:hAnsi="Calibri" w:cs="Calibri"/>
                <w:sz w:val="20"/>
                <w:szCs w:val="20"/>
              </w:rPr>
            </w:pPr>
            <w:r>
              <w:rPr>
                <w:rFonts w:ascii="Calibri" w:hAnsi="Calibri" w:cs="Calibri"/>
                <w:sz w:val="20"/>
                <w:szCs w:val="20"/>
              </w:rPr>
              <w:t>Review of Instructions on Interest on overdue domestic deposits</w:t>
            </w:r>
          </w:p>
        </w:tc>
      </w:tr>
    </w:tbl>
    <w:p w:rsidR="00D74924" w:rsidRDefault="00D74924" w:rsidP="00D74924">
      <w:pPr>
        <w:rPr>
          <w:rFonts w:ascii="Arial" w:hAnsi="Arial" w:cs="Arial"/>
          <w:b/>
          <w:bCs/>
          <w:color w:val="000000"/>
          <w:sz w:val="20"/>
          <w:szCs w:val="20"/>
        </w:rPr>
      </w:pPr>
    </w:p>
    <w:p w:rsidR="00D74924" w:rsidRDefault="00D74924" w:rsidP="003E7D1F">
      <w:pPr>
        <w:rPr>
          <w:rFonts w:ascii="Arial" w:hAnsi="Arial" w:cs="Arial"/>
          <w:b/>
          <w:bCs/>
          <w:color w:val="000000"/>
          <w:sz w:val="20"/>
          <w:szCs w:val="20"/>
        </w:rPr>
      </w:pPr>
    </w:p>
    <w:p w:rsidR="003E7D1F" w:rsidRDefault="003E7D1F" w:rsidP="003E7D1F">
      <w:pPr>
        <w:rPr>
          <w:rFonts w:ascii="Arial" w:hAnsi="Arial" w:cs="Arial"/>
          <w:b/>
          <w:bCs/>
          <w:color w:val="000000"/>
          <w:sz w:val="20"/>
          <w:szCs w:val="20"/>
        </w:rPr>
      </w:pPr>
      <w:r>
        <w:rPr>
          <w:rFonts w:ascii="Arial" w:hAnsi="Arial" w:cs="Arial"/>
          <w:b/>
          <w:bCs/>
          <w:color w:val="000000"/>
          <w:sz w:val="20"/>
          <w:szCs w:val="20"/>
        </w:rPr>
        <w:t xml:space="preserve">Periodic </w:t>
      </w:r>
      <w:proofErr w:type="spellStart"/>
      <w:r>
        <w:rPr>
          <w:rFonts w:ascii="Arial" w:hAnsi="Arial" w:cs="Arial"/>
          <w:b/>
          <w:bCs/>
          <w:color w:val="000000"/>
          <w:sz w:val="20"/>
          <w:szCs w:val="20"/>
        </w:rPr>
        <w:t>Updation</w:t>
      </w:r>
      <w:proofErr w:type="spellEnd"/>
      <w:r>
        <w:rPr>
          <w:rFonts w:ascii="Arial" w:hAnsi="Arial" w:cs="Arial"/>
          <w:b/>
          <w:bCs/>
          <w:color w:val="000000"/>
          <w:sz w:val="20"/>
          <w:szCs w:val="20"/>
        </w:rPr>
        <w:t xml:space="preserve"> of KYC – Restrictions on Account Operations for Non-compliance</w:t>
      </w:r>
    </w:p>
    <w:p w:rsidR="003E7D1F" w:rsidRDefault="003E7D1F" w:rsidP="003E7D1F">
      <w:r>
        <w:t>RBI/2021-22/144</w:t>
      </w:r>
      <w:r>
        <w:br/>
        <w:t>DOR.AML.REC.74/14.01.001/2021-22</w:t>
      </w:r>
    </w:p>
    <w:p w:rsidR="003E7D1F" w:rsidRDefault="003E7D1F" w:rsidP="003E7D1F">
      <w:r>
        <w:t>December 30, 2021</w:t>
      </w:r>
    </w:p>
    <w:p w:rsidR="003E7D1F" w:rsidRDefault="003E7D1F" w:rsidP="003E7D1F">
      <w:r>
        <w:t>The Chairpersons/ CEOs of all the Regulated Entities</w:t>
      </w:r>
    </w:p>
    <w:p w:rsidR="003E7D1F" w:rsidRDefault="003E7D1F" w:rsidP="003E7D1F">
      <w:r>
        <w:t>Madam/Dear Sir,</w:t>
      </w:r>
    </w:p>
    <w:p w:rsidR="003E7D1F" w:rsidRDefault="003E7D1F" w:rsidP="003E7D1F">
      <w:pPr>
        <w:rPr>
          <w:b/>
          <w:bCs/>
        </w:rPr>
      </w:pPr>
      <w:r>
        <w:rPr>
          <w:b/>
          <w:bCs/>
        </w:rPr>
        <w:t xml:space="preserve">Periodic </w:t>
      </w:r>
      <w:proofErr w:type="spellStart"/>
      <w:r>
        <w:rPr>
          <w:b/>
          <w:bCs/>
        </w:rPr>
        <w:t>Updation</w:t>
      </w:r>
      <w:proofErr w:type="spellEnd"/>
      <w:r>
        <w:rPr>
          <w:b/>
          <w:bCs/>
        </w:rPr>
        <w:t xml:space="preserve"> of KYC – Restrictions on Account Operations for Non-compliance</w:t>
      </w:r>
    </w:p>
    <w:p w:rsidR="003E7D1F" w:rsidRDefault="003E7D1F" w:rsidP="003E7D1F">
      <w:r>
        <w:t>Please refer to our </w:t>
      </w:r>
      <w:hyperlink r:id="rId5" w:tgtFrame="_blank" w:history="1">
        <w:r>
          <w:rPr>
            <w:rStyle w:val="Hyperlink"/>
          </w:rPr>
          <w:t>circular DOR.AML.REC 13/14.01.001/2021-22 dated May 5, 2021</w:t>
        </w:r>
      </w:hyperlink>
      <w:r>
        <w:t>, on the captioned subject.</w:t>
      </w:r>
    </w:p>
    <w:p w:rsidR="003E7D1F" w:rsidRDefault="003E7D1F" w:rsidP="003E7D1F">
      <w:r>
        <w:t>2. In view of the prevalent uncertainty due to new variant of Covid-19, the relaxation provided in the aforementioned circular is hereby extended till March 31, 2022.</w:t>
      </w:r>
    </w:p>
    <w:p w:rsidR="003E7D1F" w:rsidRDefault="003E7D1F" w:rsidP="003E7D1F">
      <w:r>
        <w:t>Yours faithfully,</w:t>
      </w:r>
    </w:p>
    <w:p w:rsidR="003E7D1F" w:rsidRDefault="003E7D1F" w:rsidP="003E7D1F">
      <w:r>
        <w:t xml:space="preserve">(Prakash </w:t>
      </w:r>
      <w:proofErr w:type="spellStart"/>
      <w:r>
        <w:t>Baliarsingh</w:t>
      </w:r>
      <w:proofErr w:type="spellEnd"/>
      <w:r>
        <w:t>)</w:t>
      </w:r>
      <w:r>
        <w:br/>
        <w:t>Chief General Manager</w:t>
      </w:r>
    </w:p>
    <w:p w:rsidR="003E7D1F" w:rsidRDefault="003E7D1F" w:rsidP="003E7D1F">
      <w:r>
        <w:t xml:space="preserve">Reference Link: </w:t>
      </w:r>
      <w:hyperlink r:id="rId6" w:history="1">
        <w:r>
          <w:rPr>
            <w:rStyle w:val="Hyperlink"/>
          </w:rPr>
          <w:t>https://www.rbi.org.in/Scripts/NotificationUser.aspx?Id=12213&amp;Mode=0</w:t>
        </w:r>
      </w:hyperlink>
    </w:p>
    <w:p w:rsidR="003E7D1F" w:rsidRDefault="003E7D1F" w:rsidP="003E7D1F"/>
    <w:p w:rsidR="003E7D1F" w:rsidRDefault="003E7D1F"/>
    <w:p w:rsidR="003E7D1F" w:rsidRDefault="003E7D1F">
      <w:pPr>
        <w:spacing w:line="259" w:lineRule="auto"/>
      </w:pPr>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3E7D1F" w:rsidRDefault="003E7D1F" w:rsidP="003E7D1F">
      <w:r>
        <w:t>RBI/2021-2022/125</w:t>
      </w:r>
      <w:r>
        <w:br/>
        <w:t>DOR.STR.REC.68/21.04.048/2021-22</w:t>
      </w:r>
    </w:p>
    <w:p w:rsidR="003E7D1F" w:rsidRDefault="003E7D1F" w:rsidP="003E7D1F">
      <w:r>
        <w:t>November 12, 2021</w:t>
      </w:r>
    </w:p>
    <w:p w:rsidR="003E7D1F" w:rsidRDefault="003E7D1F" w:rsidP="003E7D1F">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3E7D1F" w:rsidRDefault="003E7D1F" w:rsidP="003E7D1F">
      <w:r>
        <w:t>Madam/Dear Sir,</w:t>
      </w:r>
    </w:p>
    <w:p w:rsidR="003E7D1F" w:rsidRDefault="003E7D1F" w:rsidP="003E7D1F">
      <w:pPr>
        <w:rPr>
          <w:b/>
          <w:bCs/>
        </w:rPr>
      </w:pPr>
      <w:r>
        <w:rPr>
          <w:b/>
          <w:bCs/>
        </w:rPr>
        <w:t>Prudential norms on Income Recognition, Asset Classification and Provisioning pertaining to Advances - Clarifications</w:t>
      </w:r>
    </w:p>
    <w:p w:rsidR="003E7D1F" w:rsidRDefault="003E7D1F" w:rsidP="003E7D1F">
      <w:r>
        <w:t>Please refer to the </w:t>
      </w:r>
      <w:hyperlink r:id="rId7"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3E7D1F" w:rsidRDefault="003E7D1F" w:rsidP="003E7D1F">
      <w:pPr>
        <w:rPr>
          <w:b/>
          <w:bCs/>
        </w:rPr>
      </w:pPr>
      <w:r>
        <w:rPr>
          <w:b/>
          <w:bCs/>
        </w:rPr>
        <w:t>A. Specification of due date/repayment date</w:t>
      </w:r>
    </w:p>
    <w:p w:rsidR="003E7D1F" w:rsidRDefault="003E7D1F" w:rsidP="003E7D1F">
      <w:pPr>
        <w:rPr>
          <w:b/>
          <w:bCs/>
        </w:rPr>
      </w:pPr>
      <w:r>
        <w:rPr>
          <w:b/>
          <w:bCs/>
        </w:rPr>
        <w:t>B. Classification as Special Mention Account (SMA) and Non-Performing Asset (NPA)</w:t>
      </w:r>
    </w:p>
    <w:p w:rsidR="003E7D1F" w:rsidRDefault="003E7D1F" w:rsidP="003E7D1F">
      <w:pPr>
        <w:rPr>
          <w:b/>
          <w:bCs/>
        </w:rPr>
      </w:pPr>
      <w:r>
        <w:rPr>
          <w:b/>
          <w:bCs/>
        </w:rPr>
        <w:t>C. Clarification regarding definition of ‘out of order’</w:t>
      </w:r>
    </w:p>
    <w:p w:rsidR="003E7D1F" w:rsidRDefault="003E7D1F" w:rsidP="003E7D1F">
      <w:r>
        <w:rPr>
          <w:b/>
          <w:bCs/>
        </w:rPr>
        <w:t>D. NPA classification in case of interest payments</w:t>
      </w:r>
    </w:p>
    <w:p w:rsidR="003E7D1F" w:rsidRDefault="003E7D1F" w:rsidP="003E7D1F">
      <w:r>
        <w:rPr>
          <w:b/>
          <w:bCs/>
        </w:rPr>
        <w:t>E. Upgradation of accounts classified as NPAs</w:t>
      </w:r>
    </w:p>
    <w:p w:rsidR="003E7D1F" w:rsidRDefault="003E7D1F" w:rsidP="003E7D1F">
      <w:pPr>
        <w:rPr>
          <w:b/>
          <w:bCs/>
        </w:rPr>
      </w:pPr>
      <w:r>
        <w:rPr>
          <w:b/>
          <w:bCs/>
        </w:rPr>
        <w:t>F. Income recognition policy for loans with moratorium on payment of interest</w:t>
      </w:r>
    </w:p>
    <w:p w:rsidR="003E7D1F" w:rsidRDefault="003E7D1F" w:rsidP="003E7D1F">
      <w:r>
        <w:rPr>
          <w:b/>
          <w:bCs/>
        </w:rPr>
        <w:t>G. Consumer Education</w:t>
      </w:r>
    </w:p>
    <w:p w:rsidR="003E7D1F" w:rsidRDefault="003E7D1F" w:rsidP="003E7D1F"/>
    <w:p w:rsidR="003E7D1F" w:rsidRDefault="003E7D1F" w:rsidP="003E7D1F">
      <w:r>
        <w:t>Details under each aspect may be referred from the below link</w:t>
      </w:r>
    </w:p>
    <w:p w:rsidR="003E7D1F" w:rsidRDefault="003E7D1F" w:rsidP="003E7D1F">
      <w:r>
        <w:t xml:space="preserve">Reference link: </w:t>
      </w:r>
      <w:hyperlink r:id="rId8" w:history="1">
        <w:r>
          <w:rPr>
            <w:rStyle w:val="Hyperlink"/>
          </w:rPr>
          <w:t>https://www.rbi.org.in/Scripts/NotificationUser.aspx?Id=12194&amp;Mode=0</w:t>
        </w:r>
      </w:hyperlink>
    </w:p>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Reserve Bank - Integrated Ombudsman Scheme, 2021</w:t>
      </w:r>
    </w:p>
    <w:p w:rsidR="003E7D1F" w:rsidRDefault="003E7D1F" w:rsidP="003E7D1F">
      <w:pPr>
        <w:rPr>
          <w:b/>
          <w:bCs/>
        </w:rPr>
      </w:pPr>
      <w:r>
        <w:rPr>
          <w:b/>
          <w:bCs/>
        </w:rPr>
        <w:t>DEPUTY GOVERNOR</w:t>
      </w:r>
    </w:p>
    <w:p w:rsidR="003E7D1F" w:rsidRDefault="003E7D1F" w:rsidP="003E7D1F">
      <w:pPr>
        <w:rPr>
          <w:b/>
          <w:bCs/>
        </w:rPr>
      </w:pPr>
      <w:r>
        <w:rPr>
          <w:b/>
          <w:bCs/>
        </w:rPr>
        <w:t>Reserve Bank of India</w:t>
      </w:r>
      <w:r>
        <w:rPr>
          <w:b/>
          <w:bCs/>
        </w:rPr>
        <w:br/>
        <w:t>Mumbai</w:t>
      </w:r>
    </w:p>
    <w:p w:rsidR="003E7D1F" w:rsidRDefault="003E7D1F" w:rsidP="003E7D1F">
      <w:pPr>
        <w:rPr>
          <w:b/>
          <w:bCs/>
        </w:rPr>
      </w:pPr>
      <w:r>
        <w:rPr>
          <w:b/>
          <w:bCs/>
        </w:rPr>
        <w:t> </w:t>
      </w:r>
    </w:p>
    <w:p w:rsidR="003E7D1F" w:rsidRDefault="003E7D1F" w:rsidP="003E7D1F">
      <w:pPr>
        <w:rPr>
          <w:b/>
          <w:bCs/>
        </w:rPr>
      </w:pPr>
      <w:r>
        <w:rPr>
          <w:b/>
          <w:bCs/>
        </w:rPr>
        <w:t>Reserve Bank - Integrated Ombudsman Scheme, 2021</w:t>
      </w:r>
    </w:p>
    <w:p w:rsidR="003E7D1F" w:rsidRDefault="003E7D1F" w:rsidP="003E7D1F">
      <w:pPr>
        <w:rPr>
          <w:b/>
          <w:bCs/>
        </w:rPr>
      </w:pPr>
      <w:r>
        <w:rPr>
          <w:b/>
          <w:bCs/>
          <w:u w:val="single"/>
        </w:rPr>
        <w:t>NOTIFICATION</w:t>
      </w:r>
    </w:p>
    <w:p w:rsidR="003E7D1F" w:rsidRDefault="003E7D1F" w:rsidP="003E7D1F">
      <w:r>
        <w:t xml:space="preserve">Ref. CEPD. PRD. </w:t>
      </w:r>
      <w:proofErr w:type="gramStart"/>
      <w:r>
        <w:t>No.S</w:t>
      </w:r>
      <w:proofErr w:type="gramEnd"/>
      <w:r>
        <w:t>873/13.01.001/2021-22</w:t>
      </w:r>
    </w:p>
    <w:p w:rsidR="003E7D1F" w:rsidRDefault="003E7D1F" w:rsidP="003E7D1F">
      <w:r>
        <w:t>November 12, 2021</w:t>
      </w:r>
    </w:p>
    <w:p w:rsidR="003E7D1F" w:rsidRDefault="003E7D1F" w:rsidP="003E7D1F">
      <w:r>
        <w:t>In exercise of the powers conferred by Section 35A of the Banking Regulation Act, 1949 (10 of 1949), Section 45L of the Reserve Bank of India Act, 1934 (2 of 1934) and Section 18 of the Payment and Settlement Systems Act, 2007 (51 of 2007), and in supersession of its Notifications Ref. (</w:t>
      </w:r>
      <w:proofErr w:type="spellStart"/>
      <w:r>
        <w:t>i</w:t>
      </w:r>
      <w:proofErr w:type="spellEnd"/>
      <w:r>
        <w:t>) CEPD. PRS. No. 6317/13.01.01/2016-17 dated June 16, 2017; (ii) </w:t>
      </w:r>
      <w:hyperlink r:id="rId9" w:tgtFrame="_blank" w:history="1">
        <w:r>
          <w:rPr>
            <w:rStyle w:val="Hyperlink"/>
          </w:rPr>
          <w:t>CEPD. PRS. No. 3590/13.01.004/2017-18 dated February 23, 2018</w:t>
        </w:r>
      </w:hyperlink>
      <w:r>
        <w:t>; and (iii) </w:t>
      </w:r>
      <w:hyperlink r:id="rId10" w:tgtFrame="_blank" w:history="1">
        <w:r>
          <w:rPr>
            <w:rStyle w:val="Hyperlink"/>
          </w:rPr>
          <w:t>CEPD. PRS. No. 3370/13.01.010/2018-19 dated January 31, 2019</w:t>
        </w:r>
      </w:hyperlink>
      <w:r>
        <w:t>, the Reserve Bank of India, being satisfied that it is in public interest to do so, and to make the alternate dispute redress mechanism simpler and more responsive to the customers of entities regulated by it, hereby integrates the three Ombudsman schemes – (</w:t>
      </w:r>
      <w:proofErr w:type="spellStart"/>
      <w:r>
        <w:t>i</w:t>
      </w:r>
      <w:proofErr w:type="spellEnd"/>
      <w:r>
        <w:t>) </w:t>
      </w:r>
      <w:hyperlink r:id="rId11" w:tgtFrame="_blank" w:history="1">
        <w:r>
          <w:rPr>
            <w:rStyle w:val="Hyperlink"/>
          </w:rPr>
          <w:t>the Banking Ombudsman Scheme, 2006</w:t>
        </w:r>
      </w:hyperlink>
      <w:r>
        <w:t>, as amended up to July 01, 2017; (ii) </w:t>
      </w:r>
      <w:hyperlink r:id="rId12" w:tgtFrame="_blank" w:history="1">
        <w:r>
          <w:rPr>
            <w:rStyle w:val="Hyperlink"/>
          </w:rPr>
          <w:t>the Ombudsman Scheme for Non-Banking Financial Companies, 2018</w:t>
        </w:r>
      </w:hyperlink>
      <w:r>
        <w:t>; and (iii) </w:t>
      </w:r>
      <w:hyperlink r:id="rId13" w:tgtFrame="_blank" w:history="1">
        <w:r>
          <w:rPr>
            <w:rStyle w:val="Hyperlink"/>
          </w:rPr>
          <w:t>the Ombudsman Scheme for Digital Transactions, 2019</w:t>
        </w:r>
      </w:hyperlink>
      <w:r>
        <w:t> into the Reserve Bank - Integrated Ombudsman Scheme, 2021 (the Scheme).</w:t>
      </w:r>
    </w:p>
    <w:p w:rsidR="003E7D1F" w:rsidRDefault="003E7D1F" w:rsidP="003E7D1F">
      <w:r>
        <w:t>2. The Scheme covers the following regulated entities:</w:t>
      </w:r>
    </w:p>
    <w:p w:rsidR="003E7D1F" w:rsidRDefault="003E7D1F" w:rsidP="003E7D1F">
      <w:pPr>
        <w:numPr>
          <w:ilvl w:val="0"/>
          <w:numId w:val="1"/>
        </w:numPr>
      </w:pPr>
      <w:r>
        <w:t>all Commercial Banks, Regional Rural Banks, Scheduled Primary (Urban) Co-operative Banks and Non-Scheduled Primary (Urban) Co-operative Banks with deposits size of Rupees 50 crore and above as on the date of the audited balance sheet of the previous financial year;</w:t>
      </w:r>
    </w:p>
    <w:p w:rsidR="003E7D1F" w:rsidRDefault="003E7D1F" w:rsidP="003E7D1F">
      <w:pPr>
        <w:numPr>
          <w:ilvl w:val="0"/>
          <w:numId w:val="1"/>
        </w:numPr>
      </w:pPr>
      <w:r>
        <w:t>all Non-Banking Financial Companies (excluding Housing Finance Companies) which (a) are authorised to accept deposits; or (b) have customer interface, with an assets size of Rupees 100 crore and above as on the date of the audited balance sheet of the previous financial year;</w:t>
      </w:r>
    </w:p>
    <w:p w:rsidR="003E7D1F" w:rsidRDefault="003E7D1F" w:rsidP="003E7D1F">
      <w:pPr>
        <w:numPr>
          <w:ilvl w:val="0"/>
          <w:numId w:val="1"/>
        </w:numPr>
      </w:pPr>
      <w:r>
        <w:t>all System Participants as defined under the Scheme.</w:t>
      </w:r>
    </w:p>
    <w:p w:rsidR="003E7D1F" w:rsidRDefault="003E7D1F" w:rsidP="003E7D1F">
      <w:r>
        <w:t>3. The regulated entities shall comply with the Scheme from the date of its implementation.</w:t>
      </w:r>
    </w:p>
    <w:p w:rsidR="003E7D1F" w:rsidRDefault="003E7D1F" w:rsidP="003E7D1F">
      <w:r>
        <w:t>4. The format for filing a complaint under the Scheme is </w:t>
      </w:r>
      <w:hyperlink r:id="rId14" w:tgtFrame="_blank" w:history="1">
        <w:r>
          <w:rPr>
            <w:rStyle w:val="Hyperlink"/>
          </w:rPr>
          <w:t>annexed</w:t>
        </w:r>
      </w:hyperlink>
      <w:r>
        <w:t>.</w:t>
      </w:r>
    </w:p>
    <w:p w:rsidR="003E7D1F" w:rsidRDefault="003E7D1F" w:rsidP="003E7D1F">
      <w:r>
        <w:t>5. The </w:t>
      </w:r>
      <w:hyperlink r:id="rId15" w:tgtFrame="_blank" w:history="1">
        <w:r>
          <w:rPr>
            <w:rStyle w:val="Hyperlink"/>
          </w:rPr>
          <w:t>Scheme</w:t>
        </w:r>
      </w:hyperlink>
      <w:r>
        <w:t> shall come into force from November 12, 2021.</w:t>
      </w:r>
    </w:p>
    <w:p w:rsidR="003E7D1F" w:rsidRDefault="003E7D1F" w:rsidP="003E7D1F">
      <w:r>
        <w:t>(M. K. Jain)</w:t>
      </w:r>
    </w:p>
    <w:p w:rsidR="003E7D1F" w:rsidRDefault="003E7D1F" w:rsidP="003E7D1F">
      <w:r>
        <w:t xml:space="preserve">Reference link: </w:t>
      </w:r>
      <w:hyperlink r:id="rId16" w:history="1">
        <w:r>
          <w:rPr>
            <w:rStyle w:val="Hyperlink"/>
          </w:rPr>
          <w:t>https://www.rbi.org.in/Scripts/NotificationUser.aspx?Id=12192&amp;Mode=0</w:t>
        </w:r>
      </w:hyperlink>
    </w:p>
    <w:p w:rsidR="003E7D1F" w:rsidRDefault="003E7D1F" w:rsidP="003E7D1F"/>
    <w:p w:rsidR="00CF1D0F" w:rsidRDefault="00CF1D0F"/>
    <w:p w:rsidR="003E7D1F" w:rsidRDefault="003E7D1F"/>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Master Circular- Guarantees, Co-Acceptances &amp; Letters of Credit – UCBs</w:t>
      </w:r>
    </w:p>
    <w:p w:rsidR="003E7D1F" w:rsidRDefault="003E7D1F" w:rsidP="003E7D1F">
      <w:r>
        <w:t>RBI/2021-22/119</w:t>
      </w:r>
      <w:r>
        <w:br/>
        <w:t>DoR.STR.REC.65/09.27.000/2021-22</w:t>
      </w:r>
    </w:p>
    <w:p w:rsidR="003E7D1F" w:rsidRDefault="003E7D1F" w:rsidP="003E7D1F">
      <w:r>
        <w:t>November 02, 2021</w:t>
      </w:r>
    </w:p>
    <w:p w:rsidR="003E7D1F" w:rsidRDefault="003E7D1F" w:rsidP="003E7D1F">
      <w:r>
        <w:t>The Managing Director/ Chief Executive Officers</w:t>
      </w:r>
      <w:r>
        <w:br/>
        <w:t>All Primary (Urban) Co-operative Banks</w:t>
      </w:r>
    </w:p>
    <w:p w:rsidR="003E7D1F" w:rsidRDefault="003E7D1F" w:rsidP="003E7D1F">
      <w:r>
        <w:t>Dear Sir/ Madam,</w:t>
      </w:r>
    </w:p>
    <w:p w:rsidR="003E7D1F" w:rsidRDefault="003E7D1F" w:rsidP="003E7D1F">
      <w:pPr>
        <w:rPr>
          <w:b/>
          <w:bCs/>
        </w:rPr>
      </w:pPr>
      <w:r>
        <w:rPr>
          <w:b/>
          <w:bCs/>
        </w:rPr>
        <w:t>Master Circular- Guarantees, Co-Acceptances &amp; Letters of Credit - UCBs</w:t>
      </w:r>
    </w:p>
    <w:p w:rsidR="003E7D1F" w:rsidRDefault="003E7D1F" w:rsidP="003E7D1F">
      <w:r>
        <w:t>Please refer to our </w:t>
      </w:r>
      <w:hyperlink r:id="rId17" w:tgtFrame="_blank" w:history="1">
        <w:r>
          <w:rPr>
            <w:rStyle w:val="Hyperlink"/>
          </w:rPr>
          <w:t>Master Circular DCBR. BPD (PCB) MC. No.8/09.27.000/2015-16 dated July 1, 2015</w:t>
        </w:r>
      </w:hyperlink>
      <w:r>
        <w:t> on the captioned subject (available at RBI website </w:t>
      </w:r>
      <w:hyperlink r:id="rId18" w:tgtFrame="_blank" w:history="1">
        <w:r>
          <w:rPr>
            <w:rStyle w:val="Hyperlink"/>
          </w:rPr>
          <w:t>https://rbi.org.in/</w:t>
        </w:r>
      </w:hyperlink>
      <w:r>
        <w:t>). The enclosed </w:t>
      </w:r>
      <w:hyperlink r:id="rId19" w:anchor="MC1" w:history="1">
        <w:r>
          <w:rPr>
            <w:rStyle w:val="Hyperlink"/>
          </w:rPr>
          <w:t>Master Circular</w:t>
        </w:r>
      </w:hyperlink>
      <w:r>
        <w:t> consolidates and updates all the instructions / guidelines on the subject issued up to November 1, 2021 as listed in the </w:t>
      </w:r>
      <w:hyperlink r:id="rId20" w:anchor="ANNEX" w:history="1">
        <w:r>
          <w:rPr>
            <w:rStyle w:val="Hyperlink"/>
          </w:rPr>
          <w:t>Annex</w:t>
        </w:r>
      </w:hyperlink>
      <w:r>
        <w:t>.</w:t>
      </w:r>
    </w:p>
    <w:p w:rsidR="003E7D1F" w:rsidRDefault="003E7D1F" w:rsidP="003E7D1F">
      <w:r>
        <w:t>Yours faithfully</w:t>
      </w:r>
    </w:p>
    <w:p w:rsidR="003E7D1F" w:rsidRDefault="003E7D1F" w:rsidP="003E7D1F">
      <w:r>
        <w:t>(</w:t>
      </w:r>
      <w:proofErr w:type="spellStart"/>
      <w:r>
        <w:t>Manoranjan</w:t>
      </w:r>
      <w:proofErr w:type="spellEnd"/>
      <w:r>
        <w:t xml:space="preserve"> Mishra)</w:t>
      </w:r>
      <w:r>
        <w:br/>
        <w:t>Chief General Manager</w:t>
      </w:r>
    </w:p>
    <w:p w:rsidR="003E7D1F" w:rsidRDefault="003E7D1F" w:rsidP="003E7D1F">
      <w:r>
        <w:t xml:space="preserve">Reference link: </w:t>
      </w:r>
      <w:hyperlink r:id="rId21" w:history="1">
        <w:r>
          <w:rPr>
            <w:rStyle w:val="Hyperlink"/>
          </w:rPr>
          <w:t>https://www.rbi.org.in/Scripts/NotificationUser.aspx?Id=12187&amp;Mode=0</w:t>
        </w:r>
      </w:hyperlink>
    </w:p>
    <w:p w:rsidR="003E7D1F" w:rsidRPr="003E7D1F" w:rsidRDefault="003E7D1F" w:rsidP="003E7D1F">
      <w:r>
        <w:br w:type="page"/>
      </w:r>
      <w:r>
        <w:rPr>
          <w:rFonts w:ascii="Arial" w:hAnsi="Arial" w:cs="Arial"/>
          <w:b/>
          <w:bCs/>
          <w:color w:val="000000"/>
          <w:sz w:val="20"/>
          <w:szCs w:val="20"/>
        </w:rPr>
        <w:lastRenderedPageBreak/>
        <w:t>Master Circular- Income Recognition, Asset Classification, Provisioning and Other Related Matters – UCBs</w:t>
      </w:r>
    </w:p>
    <w:p w:rsidR="003E7D1F" w:rsidRDefault="003E7D1F" w:rsidP="003E7D1F">
      <w:r>
        <w:t>RBI/2021-22/117</w:t>
      </w:r>
      <w:r>
        <w:br/>
        <w:t>DOR.No.STR.REC.64/21.04.048/2021-22</w:t>
      </w:r>
    </w:p>
    <w:p w:rsidR="003E7D1F" w:rsidRDefault="003E7D1F" w:rsidP="003E7D1F">
      <w:r>
        <w:t>November 1, 2021</w:t>
      </w:r>
    </w:p>
    <w:p w:rsidR="003E7D1F" w:rsidRDefault="003E7D1F" w:rsidP="003E7D1F">
      <w:r>
        <w:t>The Chief Executive Officers</w:t>
      </w:r>
      <w:r>
        <w:br/>
        <w:t>All Primary (Urban) Co-operative Banks</w:t>
      </w:r>
    </w:p>
    <w:p w:rsidR="003E7D1F" w:rsidRDefault="003E7D1F" w:rsidP="003E7D1F">
      <w:r>
        <w:t>Madam / Dear Sir,</w:t>
      </w:r>
    </w:p>
    <w:p w:rsidR="003E7D1F" w:rsidRDefault="003E7D1F" w:rsidP="003E7D1F">
      <w:r>
        <w:t>Master Circular- Income Recognition, Asset Classification, Provisioning and Other Related Matters - UCBs</w:t>
      </w:r>
    </w:p>
    <w:p w:rsidR="003E7D1F" w:rsidRDefault="003E7D1F" w:rsidP="003E7D1F">
      <w:r>
        <w:t>Please refer to our </w:t>
      </w:r>
      <w:hyperlink r:id="rId22" w:tgtFrame="_blank" w:history="1">
        <w:r>
          <w:rPr>
            <w:rStyle w:val="Hyperlink"/>
          </w:rPr>
          <w:t>Master Circular DCBR.BPD. (PCB) MC No.12/09.14.000/2015-16 dated July 1, 2015</w:t>
        </w:r>
      </w:hyperlink>
      <w:r>
        <w:t> on the captioned subject. The enclosed </w:t>
      </w:r>
      <w:hyperlink r:id="rId23" w:anchor="MC" w:history="1">
        <w:r>
          <w:rPr>
            <w:rStyle w:val="Hyperlink"/>
          </w:rPr>
          <w:t>Master Circular</w:t>
        </w:r>
      </w:hyperlink>
      <w:r>
        <w:t> consolidates and updates all the instructions / guidelines on the subject issued up to October 31, 2021 as listed in the </w:t>
      </w:r>
      <w:hyperlink r:id="rId24" w:anchor="ANNEX_9" w:history="1">
        <w:r>
          <w:rPr>
            <w:rStyle w:val="Hyperlink"/>
          </w:rPr>
          <w:t>Annex 9</w:t>
        </w:r>
      </w:hyperlink>
      <w:r>
        <w:t>.</w:t>
      </w:r>
    </w:p>
    <w:p w:rsidR="003E7D1F" w:rsidRDefault="003E7D1F" w:rsidP="003E7D1F">
      <w:r>
        <w:t>Yours faithfully</w:t>
      </w:r>
    </w:p>
    <w:p w:rsidR="003E7D1F" w:rsidRDefault="003E7D1F" w:rsidP="003E7D1F">
      <w:r>
        <w:t>(</w:t>
      </w:r>
      <w:proofErr w:type="spellStart"/>
      <w:r>
        <w:t>Manoranjan</w:t>
      </w:r>
      <w:proofErr w:type="spellEnd"/>
      <w:r>
        <w:t xml:space="preserve"> Mishra)</w:t>
      </w:r>
      <w:r>
        <w:br/>
        <w:t>Chief General Manager</w:t>
      </w:r>
    </w:p>
    <w:p w:rsidR="003E7D1F" w:rsidRDefault="003E7D1F" w:rsidP="003E7D1F">
      <w:proofErr w:type="spellStart"/>
      <w:r>
        <w:t>Encl</w:t>
      </w:r>
      <w:proofErr w:type="spellEnd"/>
      <w:r>
        <w:t>: As above</w:t>
      </w:r>
    </w:p>
    <w:p w:rsidR="003E7D1F" w:rsidRDefault="003E7D1F" w:rsidP="003E7D1F">
      <w:r>
        <w:t xml:space="preserve">Reference link: </w:t>
      </w:r>
      <w:hyperlink r:id="rId25" w:history="1">
        <w:r>
          <w:rPr>
            <w:rStyle w:val="Hyperlink"/>
          </w:rPr>
          <w:t>https://www.rbi.org.in/Scripts/NotificationUser.aspx?Id=12185&amp;Mode=0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Opening of Current Accounts by Banks - Need for Discipline</w:t>
      </w:r>
    </w:p>
    <w:p w:rsidR="003E7D1F" w:rsidRDefault="003E7D1F" w:rsidP="003E7D1F">
      <w:r>
        <w:t>RBI/2021-22/116</w:t>
      </w:r>
      <w:r>
        <w:br/>
        <w:t>DOR.CRE.REC.63/21.04.048/2021-22</w:t>
      </w:r>
    </w:p>
    <w:p w:rsidR="003E7D1F" w:rsidRDefault="003E7D1F" w:rsidP="003E7D1F">
      <w:r>
        <w:t>October 29, 2021</w:t>
      </w:r>
    </w:p>
    <w:p w:rsidR="003E7D1F" w:rsidRDefault="003E7D1F" w:rsidP="003E7D1F">
      <w:r>
        <w:t>All Scheduled Commercial Banks</w:t>
      </w:r>
      <w:r>
        <w:br/>
        <w:t>All Payments Banks</w:t>
      </w:r>
    </w:p>
    <w:p w:rsidR="003E7D1F" w:rsidRDefault="003E7D1F" w:rsidP="003E7D1F">
      <w:r>
        <w:t>Madam/Sir,</w:t>
      </w:r>
    </w:p>
    <w:p w:rsidR="003E7D1F" w:rsidRDefault="003E7D1F" w:rsidP="003E7D1F">
      <w:pPr>
        <w:rPr>
          <w:b/>
          <w:bCs/>
        </w:rPr>
      </w:pPr>
      <w:r>
        <w:rPr>
          <w:b/>
          <w:bCs/>
        </w:rPr>
        <w:t>Opening of Current Accounts by Banks - Need for Discipline</w:t>
      </w:r>
    </w:p>
    <w:p w:rsidR="003E7D1F" w:rsidRDefault="003E7D1F" w:rsidP="003E7D1F">
      <w:r>
        <w:t>Please refer to our </w:t>
      </w:r>
      <w:hyperlink r:id="rId26" w:tgtFrame="_blank" w:history="1">
        <w:r>
          <w:rPr>
            <w:rStyle w:val="Hyperlink"/>
          </w:rPr>
          <w:t xml:space="preserve">circular </w:t>
        </w:r>
        <w:proofErr w:type="spellStart"/>
        <w:r>
          <w:rPr>
            <w:rStyle w:val="Hyperlink"/>
          </w:rPr>
          <w:t>DOR.No.BP.BC</w:t>
        </w:r>
        <w:proofErr w:type="spellEnd"/>
        <w:r>
          <w:rPr>
            <w:rStyle w:val="Hyperlink"/>
          </w:rPr>
          <w:t>/7/21.04.048/2020-21 dated August 6, 2020</w:t>
        </w:r>
      </w:hyperlink>
      <w:r>
        <w:t> on the captioned subject and associated circulars thereon</w:t>
      </w:r>
      <w:hyperlink r:id="rId27" w:anchor="F1" w:history="1">
        <w:r>
          <w:rPr>
            <w:rStyle w:val="Hyperlink"/>
            <w:vertAlign w:val="superscript"/>
          </w:rPr>
          <w:t>1</w:t>
        </w:r>
      </w:hyperlink>
      <w:r>
        <w:t>.</w:t>
      </w:r>
    </w:p>
    <w:p w:rsidR="003E7D1F" w:rsidRDefault="003E7D1F" w:rsidP="003E7D1F">
      <w:r>
        <w:t>2. On a review and taking into account feedback received from Indian Banks’ Association (IBA) and other stakeholders, it has been decided that banks may open current accounts for borrowers who have availed credit facilities in the form of cash credit (CC)/ overdraft (OD) from the banking system as per the provisions below:</w:t>
      </w:r>
    </w:p>
    <w:p w:rsidR="003E7D1F" w:rsidRDefault="003E7D1F" w:rsidP="003E7D1F">
      <w:r>
        <w:t>(</w:t>
      </w:r>
      <w:proofErr w:type="spellStart"/>
      <w:r>
        <w:t>i</w:t>
      </w:r>
      <w:proofErr w:type="spellEnd"/>
      <w:r>
        <w:t xml:space="preserve">) For borrowers, where the exposure of the banking system is less than ₹5 </w:t>
      </w:r>
      <w:proofErr w:type="gramStart"/>
      <w:r>
        <w:t>crore</w:t>
      </w:r>
      <w:proofErr w:type="gramEnd"/>
      <w:r>
        <w:t>, there is no restriction on opening of current accounts or on provision of CC/OD facility by banks, subject to obtaining an undertaking from such borrowers that they shall inform the bank(s), as and when the credit facilities availed by them from the banking system reaches ₹5 crore or more.</w:t>
      </w:r>
    </w:p>
    <w:p w:rsidR="003E7D1F" w:rsidRDefault="003E7D1F" w:rsidP="003E7D1F">
      <w:r>
        <w:t>(ii) In respect of borrowers where exposure of the banking system is ₹5 crore or more, such borrower can maintain current accounts with any one of the banks with which it has CC/OD facility, provided that the bank has at least 10 per cent of the exposure of the banking system to that borrower.</w:t>
      </w:r>
    </w:p>
    <w:p w:rsidR="003E7D1F" w:rsidRDefault="003E7D1F" w:rsidP="003E7D1F"/>
    <w:p w:rsidR="003E7D1F" w:rsidRDefault="003E7D1F" w:rsidP="003E7D1F">
      <w:r>
        <w:t>Further details of the circular can be accessed in the below link</w:t>
      </w:r>
    </w:p>
    <w:p w:rsidR="003E7D1F" w:rsidRDefault="003E7D1F" w:rsidP="003E7D1F">
      <w:r>
        <w:t xml:space="preserve">Reference link: </w:t>
      </w:r>
      <w:hyperlink r:id="rId28" w:history="1">
        <w:r>
          <w:rPr>
            <w:rStyle w:val="Hyperlink"/>
          </w:rPr>
          <w:t>https://www.rbi.org.in/Scripts/NotificationUser.aspx?Id=12184&amp;Mode=0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Master Circular - Prudential norms on Income Recognition, Asset Classification and Provisioning pertaining to Advances</w:t>
      </w:r>
    </w:p>
    <w:p w:rsidR="003E7D1F" w:rsidRDefault="003E7D1F" w:rsidP="003E7D1F">
      <w:r>
        <w:t>RBI/2021-2022/104</w:t>
      </w:r>
      <w:r>
        <w:br/>
        <w:t>DOR.No.STR.REC.55/21.04.048/2021-22</w:t>
      </w:r>
    </w:p>
    <w:p w:rsidR="003E7D1F" w:rsidRDefault="003E7D1F" w:rsidP="003E7D1F">
      <w:r>
        <w:t>October 1, 2021</w:t>
      </w:r>
    </w:p>
    <w:p w:rsidR="003E7D1F" w:rsidRDefault="003E7D1F" w:rsidP="003E7D1F">
      <w:r>
        <w:t>All Commercial Banks (excluding RRBs)</w:t>
      </w:r>
    </w:p>
    <w:p w:rsidR="003E7D1F" w:rsidRDefault="003E7D1F" w:rsidP="003E7D1F">
      <w:r>
        <w:t>Madam/Dear Sir</w:t>
      </w:r>
    </w:p>
    <w:p w:rsidR="003E7D1F" w:rsidRDefault="003E7D1F" w:rsidP="003E7D1F">
      <w:pPr>
        <w:rPr>
          <w:b/>
          <w:bCs/>
        </w:rPr>
      </w:pPr>
      <w:r>
        <w:rPr>
          <w:b/>
          <w:bCs/>
        </w:rPr>
        <w:t>Master Circular - Prudential norms on Income Recognition, Asset Classification and Provisioning pertaining to Advances</w:t>
      </w:r>
    </w:p>
    <w:p w:rsidR="003E7D1F" w:rsidRDefault="003E7D1F" w:rsidP="003E7D1F">
      <w:r>
        <w:t>Please refer to the </w:t>
      </w:r>
      <w:hyperlink r:id="rId29" w:tgtFrame="_blank" w:history="1">
        <w:r>
          <w:rPr>
            <w:rStyle w:val="Hyperlink"/>
          </w:rPr>
          <w:t>Master Circular No. DBR.No.BP.BC.2/21.04.048/2015-16 dated July 1, 2015</w:t>
        </w:r>
      </w:hyperlink>
      <w:r>
        <w:t> consolidating instructions / guidelines issued to banks till June 30, 2015 on matters relating to prudential norms on income recognition, asset classification and provisioning pertaining to advances.</w:t>
      </w:r>
    </w:p>
    <w:p w:rsidR="003E7D1F" w:rsidRDefault="003E7D1F" w:rsidP="003E7D1F">
      <w:r>
        <w:t>2. This </w:t>
      </w:r>
      <w:hyperlink r:id="rId30" w:anchor="MD" w:history="1">
        <w:r>
          <w:rPr>
            <w:rStyle w:val="Hyperlink"/>
          </w:rPr>
          <w:t>Master Circular</w:t>
        </w:r>
      </w:hyperlink>
      <w:r>
        <w:t> consolidates instructions on the above matters issued as on date. A list of circulars consolidated in this Master Circular is contained in the </w:t>
      </w:r>
      <w:hyperlink r:id="rId31" w:anchor="AN6" w:history="1">
        <w:r>
          <w:rPr>
            <w:rStyle w:val="Hyperlink"/>
          </w:rPr>
          <w:t>Annex 6</w:t>
        </w:r>
      </w:hyperlink>
      <w:r>
        <w:t>.</w:t>
      </w:r>
    </w:p>
    <w:p w:rsidR="003E7D1F" w:rsidRDefault="003E7D1F" w:rsidP="003E7D1F">
      <w:r>
        <w:t>Yours faithfully</w:t>
      </w:r>
    </w:p>
    <w:p w:rsidR="003E7D1F" w:rsidRDefault="003E7D1F" w:rsidP="003E7D1F">
      <w:r>
        <w:t>(</w:t>
      </w:r>
      <w:proofErr w:type="spellStart"/>
      <w:r>
        <w:t>Manoranjan</w:t>
      </w:r>
      <w:proofErr w:type="spellEnd"/>
      <w:r>
        <w:t xml:space="preserve"> Mishra)</w:t>
      </w:r>
      <w:r>
        <w:br/>
        <w:t>Chief General Manager</w:t>
      </w:r>
    </w:p>
    <w:p w:rsidR="003E7D1F" w:rsidRDefault="003E7D1F" w:rsidP="003E7D1F">
      <w:r>
        <w:t>Encl.: As above</w:t>
      </w:r>
    </w:p>
    <w:p w:rsidR="003E7D1F" w:rsidRDefault="003E7D1F" w:rsidP="003E7D1F">
      <w:r>
        <w:t xml:space="preserve">Reference link: </w:t>
      </w:r>
      <w:hyperlink r:id="rId32" w:history="1">
        <w:r>
          <w:rPr>
            <w:rStyle w:val="Hyperlink"/>
          </w:rPr>
          <w:t>https://www.rbi.org.in/Scripts/NotificationUser.aspx?Id=12171&amp;Mode=0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(Transfer of Loan Exposures) Directions, 2021</w:t>
      </w:r>
    </w:p>
    <w:p w:rsidR="003E7D1F" w:rsidRDefault="003E7D1F" w:rsidP="003E7D1F">
      <w:r>
        <w:t>RBI/DOR/2021-22/86</w:t>
      </w:r>
      <w:r>
        <w:br/>
        <w:t>DOR.STR.REC.51/21.04.048/2021-22</w:t>
      </w:r>
    </w:p>
    <w:p w:rsidR="003E7D1F" w:rsidRDefault="003E7D1F" w:rsidP="003E7D1F">
      <w:r>
        <w:t>September 24, 2021</w:t>
      </w:r>
    </w:p>
    <w:p w:rsidR="003E7D1F" w:rsidRDefault="003E7D1F" w:rsidP="003E7D1F">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3E7D1F" w:rsidRDefault="003E7D1F" w:rsidP="003E7D1F">
      <w:pPr>
        <w:rPr>
          <w:b/>
          <w:bCs/>
        </w:rPr>
      </w:pPr>
      <w:r>
        <w:rPr>
          <w:b/>
          <w:bCs/>
        </w:rPr>
        <w:t>Master Direction – Reserve Bank of India (Transfer of Loan Exposures) Directions, 2021</w:t>
      </w:r>
    </w:p>
    <w:p w:rsidR="003E7D1F" w:rsidRDefault="003E7D1F" w:rsidP="003E7D1F">
      <w:r>
        <w:t>Please refer to the Draft Comprehensive Framework for Sale of Loan Exposures that was released on </w:t>
      </w:r>
      <w:hyperlink r:id="rId33" w:tgtFrame="_blank" w:history="1">
        <w:r>
          <w:rPr>
            <w:rStyle w:val="Hyperlink"/>
          </w:rPr>
          <w:t>June 8, 2020</w:t>
        </w:r>
      </w:hyperlink>
      <w:r>
        <w:t> for comments from various stakeholders.</w:t>
      </w:r>
    </w:p>
    <w:p w:rsidR="003E7D1F" w:rsidRDefault="003E7D1F" w:rsidP="003E7D1F">
      <w:r>
        <w:t>2. Based on the examination of the comments received, the Reserve Bank has issued the Master Direction – Reserve Bank of India (Transfer of Loan Exposures) Directions, 2021, which are </w:t>
      </w:r>
      <w:hyperlink r:id="rId34"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3E7D1F" w:rsidRDefault="003E7D1F" w:rsidP="003E7D1F">
      <w:r>
        <w:t>3. These directions come into immediate effect replacing the existing instructions on the matter of sale / transfer of loan exposures. All lending institutions are advised to take necessary steps to ensure compliance with these directions.</w:t>
      </w:r>
    </w:p>
    <w:p w:rsidR="003E7D1F" w:rsidRDefault="003E7D1F" w:rsidP="003E7D1F">
      <w:r>
        <w:t>Yours faithfully,</w:t>
      </w:r>
    </w:p>
    <w:p w:rsidR="003E7D1F" w:rsidRDefault="003E7D1F" w:rsidP="003E7D1F">
      <w:r>
        <w:t>(</w:t>
      </w:r>
      <w:proofErr w:type="spellStart"/>
      <w:r>
        <w:t>Manoranjan</w:t>
      </w:r>
      <w:proofErr w:type="spellEnd"/>
      <w:r>
        <w:t xml:space="preserve"> Mishra)</w:t>
      </w:r>
      <w:r>
        <w:br/>
        <w:t>Chief General Manager</w:t>
      </w:r>
    </w:p>
    <w:p w:rsidR="003E7D1F" w:rsidRDefault="003E7D1F" w:rsidP="003E7D1F">
      <w:r>
        <w:t xml:space="preserve">Reference link: </w:t>
      </w:r>
      <w:hyperlink r:id="rId35" w:history="1">
        <w:r>
          <w:rPr>
            <w:rStyle w:val="Hyperlink"/>
          </w:rPr>
          <w:t>https://www.rbi.org.in/Scripts/NotificationUser.aspx?Id=12166&amp;Mode=0</w:t>
        </w:r>
      </w:hyperlink>
    </w:p>
    <w:p w:rsidR="003E7D1F" w:rsidRDefault="003E7D1F" w:rsidP="003E7D1F"/>
    <w:p w:rsidR="003E7D1F" w:rsidRDefault="003E7D1F" w:rsidP="003E7D1F"/>
    <w:p w:rsidR="003E7D1F" w:rsidRDefault="003E7D1F" w:rsidP="003E7D1F"/>
    <w:p w:rsidR="003E7D1F" w:rsidRDefault="003E7D1F" w:rsidP="003E7D1F"/>
    <w:p w:rsidR="003E7D1F" w:rsidRDefault="003E7D1F" w:rsidP="003E7D1F"/>
    <w:p w:rsidR="003E7D1F" w:rsidRDefault="003E7D1F" w:rsidP="003E7D1F"/>
    <w:p w:rsidR="003E7D1F" w:rsidRDefault="003E7D1F" w:rsidP="003E7D1F"/>
    <w:p w:rsidR="003E7D1F" w:rsidRDefault="003E7D1F" w:rsidP="003E7D1F"/>
    <w:p w:rsidR="003E7D1F" w:rsidRDefault="003E7D1F" w:rsidP="003E7D1F"/>
    <w:p w:rsidR="003E7D1F" w:rsidRDefault="003E7D1F" w:rsidP="003E7D1F"/>
    <w:p w:rsidR="003E7D1F" w:rsidRDefault="003E7D1F" w:rsidP="003E7D1F"/>
    <w:p w:rsidR="003E7D1F" w:rsidRDefault="003E7D1F" w:rsidP="003E7D1F">
      <w:pPr>
        <w:rPr>
          <w:rFonts w:ascii="Arial" w:hAnsi="Arial" w:cs="Arial"/>
          <w:b/>
          <w:bCs/>
          <w:color w:val="000000"/>
          <w:sz w:val="20"/>
          <w:szCs w:val="20"/>
        </w:rPr>
      </w:pPr>
    </w:p>
    <w:p w:rsidR="003E7D1F" w:rsidRDefault="003E7D1F" w:rsidP="003E7D1F">
      <w:pPr>
        <w:rPr>
          <w:rFonts w:ascii="Arial" w:hAnsi="Arial" w:cs="Arial"/>
          <w:b/>
          <w:bCs/>
          <w:color w:val="000000"/>
          <w:sz w:val="20"/>
          <w:szCs w:val="20"/>
        </w:rPr>
      </w:pPr>
      <w:r>
        <w:rPr>
          <w:rFonts w:ascii="Arial" w:hAnsi="Arial" w:cs="Arial"/>
          <w:b/>
          <w:bCs/>
          <w:color w:val="000000"/>
          <w:sz w:val="20"/>
          <w:szCs w:val="20"/>
        </w:rPr>
        <w:t>Master Circular on Investments by Primary (Urban) Co-operative Banks</w:t>
      </w:r>
    </w:p>
    <w:p w:rsidR="003E7D1F" w:rsidRDefault="003E7D1F" w:rsidP="003E7D1F">
      <w:r>
        <w:t>RBI/2021-22/100</w:t>
      </w:r>
      <w:r>
        <w:br/>
        <w:t>DOR.MRG.REC.50/21.04.141/2021-22</w:t>
      </w:r>
    </w:p>
    <w:p w:rsidR="003E7D1F" w:rsidRDefault="003E7D1F" w:rsidP="003E7D1F">
      <w:r>
        <w:t>September 20, 2021</w:t>
      </w:r>
    </w:p>
    <w:p w:rsidR="003E7D1F" w:rsidRDefault="003E7D1F" w:rsidP="003E7D1F">
      <w:r>
        <w:t>All Primary (Urban) Co-operative Banks</w:t>
      </w:r>
    </w:p>
    <w:p w:rsidR="003E7D1F" w:rsidRDefault="003E7D1F" w:rsidP="003E7D1F">
      <w:r>
        <w:t>Dear Sir / Madam,</w:t>
      </w:r>
    </w:p>
    <w:p w:rsidR="003E7D1F" w:rsidRDefault="003E7D1F" w:rsidP="003E7D1F">
      <w:pPr>
        <w:rPr>
          <w:b/>
          <w:bCs/>
        </w:rPr>
      </w:pPr>
      <w:r>
        <w:rPr>
          <w:b/>
          <w:bCs/>
        </w:rPr>
        <w:t>Master Circular on Investments by Primary (Urban) Co-operative Banks</w:t>
      </w:r>
    </w:p>
    <w:p w:rsidR="003E7D1F" w:rsidRDefault="003E7D1F" w:rsidP="003E7D1F">
      <w:r>
        <w:t>Please refer to our </w:t>
      </w:r>
      <w:hyperlink r:id="rId36" w:tgtFrame="_blank" w:history="1">
        <w:r>
          <w:rPr>
            <w:rStyle w:val="Hyperlink"/>
          </w:rPr>
          <w:t>Master Circular DCBR.BPD(PCB).MC.No.4/16.20.000/2015-16 dated July 1, 2015</w:t>
        </w:r>
      </w:hyperlink>
      <w:r>
        <w:t> on the captioned subject. The enclosed </w:t>
      </w:r>
      <w:hyperlink r:id="rId37" w:anchor="MC" w:history="1">
        <w:r>
          <w:rPr>
            <w:rStyle w:val="Hyperlink"/>
          </w:rPr>
          <w:t>Master Circular</w:t>
        </w:r>
      </w:hyperlink>
      <w:r>
        <w:t> consolidates and updates all the instructions/guidelines on the subject issued as on date.</w:t>
      </w:r>
    </w:p>
    <w:p w:rsidR="003E7D1F" w:rsidRDefault="003E7D1F" w:rsidP="003E7D1F">
      <w:r>
        <w:t>Yours faithfully,</w:t>
      </w:r>
    </w:p>
    <w:p w:rsidR="003E7D1F" w:rsidRDefault="003E7D1F" w:rsidP="003E7D1F">
      <w:r>
        <w:t>(</w:t>
      </w:r>
      <w:proofErr w:type="spellStart"/>
      <w:r>
        <w:t>Usha</w:t>
      </w:r>
      <w:proofErr w:type="spellEnd"/>
      <w:r>
        <w:t xml:space="preserve"> </w:t>
      </w:r>
      <w:proofErr w:type="spellStart"/>
      <w:r>
        <w:t>Janakiraman</w:t>
      </w:r>
      <w:proofErr w:type="spellEnd"/>
      <w:r>
        <w:t>)</w:t>
      </w:r>
      <w:r>
        <w:br/>
        <w:t>Chief General Manager</w:t>
      </w:r>
    </w:p>
    <w:p w:rsidR="003E7D1F" w:rsidRDefault="003E7D1F" w:rsidP="003E7D1F">
      <w:r>
        <w:t xml:space="preserve">Reference link: </w:t>
      </w:r>
      <w:hyperlink r:id="rId38" w:history="1">
        <w:r>
          <w:rPr>
            <w:rStyle w:val="Hyperlink"/>
          </w:rPr>
          <w:t>https://www.rbi.org.in/Scripts/NotificationUser.aspx?Id=12164&amp;Mode=0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Monitoring of Availability of Cash in ATMs</w:t>
      </w:r>
    </w:p>
    <w:p w:rsidR="003E7D1F" w:rsidRDefault="003E7D1F" w:rsidP="003E7D1F">
      <w:r>
        <w:t>RBI/2021-22/84</w:t>
      </w:r>
      <w:r>
        <w:br/>
        <w:t>DCM (RMMT) No.S153/11.01.01/2021-22</w:t>
      </w:r>
    </w:p>
    <w:p w:rsidR="003E7D1F" w:rsidRDefault="003E7D1F" w:rsidP="003E7D1F">
      <w:r>
        <w:t>August 10, 2021</w:t>
      </w:r>
    </w:p>
    <w:p w:rsidR="003E7D1F" w:rsidRDefault="003E7D1F" w:rsidP="003E7D1F">
      <w:r>
        <w:t>The Chairman /</w:t>
      </w:r>
      <w:r>
        <w:br/>
        <w:t>Managing Director &amp; CEO</w:t>
      </w:r>
      <w:r>
        <w:br/>
        <w:t>All Banks</w:t>
      </w:r>
    </w:p>
    <w:p w:rsidR="003E7D1F" w:rsidRDefault="003E7D1F" w:rsidP="003E7D1F">
      <w:r>
        <w:t>Dear Sir / Madam,</w:t>
      </w:r>
    </w:p>
    <w:p w:rsidR="003E7D1F" w:rsidRDefault="003E7D1F" w:rsidP="003E7D1F">
      <w:pPr>
        <w:rPr>
          <w:b/>
          <w:bCs/>
        </w:rPr>
      </w:pPr>
      <w:r>
        <w:rPr>
          <w:b/>
          <w:bCs/>
        </w:rPr>
        <w:t>Monitoring of Availability of Cash in ATMs</w:t>
      </w:r>
    </w:p>
    <w:p w:rsidR="003E7D1F" w:rsidRDefault="003E7D1F" w:rsidP="003E7D1F">
      <w:r>
        <w:t>As you are aware, the Reserve Bank of India has a mandate to issue banknotes and the banks are fulfilling this mandate by dispensing banknotes to the public through their wide network of branches and ATMs. In this connection, a review of downtime of ATMs due to cash-outs was undertaken and it was observed that ATM operations affected by cash-outs lead to non-availability of cash and cause avoidable inconvenience to the members of the public.</w:t>
      </w:r>
    </w:p>
    <w:p w:rsidR="003E7D1F" w:rsidRDefault="003E7D1F" w:rsidP="003E7D1F">
      <w:r>
        <w:t>2. It has, therefore, been decided that the banks/ White Label ATM Operators (WLAOs) shall strengthen their systems/ mechanisms to monitor availability of cash in ATMs and ensure timely replenishment to avoid cash-outs. Any non-compliance in this regard shall be viewed seriously and shall attract monetary penalty as stipulated in the </w:t>
      </w:r>
      <w:r>
        <w:rPr>
          <w:b/>
          <w:bCs/>
        </w:rPr>
        <w:t>“Scheme of Penalty for non-replenishment of ATMs”</w:t>
      </w:r>
      <w:r>
        <w:t> in the </w:t>
      </w:r>
      <w:hyperlink r:id="rId39" w:anchor="ANN1" w:history="1">
        <w:r>
          <w:rPr>
            <w:rStyle w:val="Hyperlink"/>
          </w:rPr>
          <w:t>Annex</w:t>
        </w:r>
      </w:hyperlink>
      <w:r>
        <w:t>. The Scheme shall be effective from October 01, 2021.</w:t>
      </w:r>
    </w:p>
    <w:p w:rsidR="003E7D1F" w:rsidRDefault="003E7D1F" w:rsidP="003E7D1F">
      <w:r>
        <w:t>Yours faithfully,</w:t>
      </w:r>
    </w:p>
    <w:p w:rsidR="003E7D1F" w:rsidRDefault="003E7D1F" w:rsidP="003E7D1F">
      <w:r>
        <w:t>(</w:t>
      </w:r>
      <w:proofErr w:type="spellStart"/>
      <w:r>
        <w:t>Subrata</w:t>
      </w:r>
      <w:proofErr w:type="spellEnd"/>
      <w:r>
        <w:t xml:space="preserve"> Das)</w:t>
      </w:r>
      <w:r>
        <w:br/>
        <w:t>Chief General Manager-in-Charge</w:t>
      </w:r>
    </w:p>
    <w:p w:rsidR="003E7D1F" w:rsidRDefault="003E7D1F" w:rsidP="003E7D1F">
      <w:proofErr w:type="spellStart"/>
      <w:r>
        <w:t>Encl</w:t>
      </w:r>
      <w:proofErr w:type="spellEnd"/>
      <w:r>
        <w:t>: As above</w:t>
      </w:r>
    </w:p>
    <w:p w:rsidR="003E7D1F" w:rsidRDefault="003E7D1F" w:rsidP="003E7D1F">
      <w:r>
        <w:t xml:space="preserve">Reference link: </w:t>
      </w:r>
      <w:hyperlink r:id="rId40" w:history="1">
        <w:r>
          <w:rPr>
            <w:rStyle w:val="Hyperlink"/>
          </w:rPr>
          <w:t>https://www.rbi.org.in/Scripts/NotificationUser.aspx?Id=12144&amp;Mode=0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 xml:space="preserve">Enhancement of collateral free loans to Self Help Groups (SHGs) under DAY-NRLM from ₹10 </w:t>
      </w:r>
      <w:proofErr w:type="gramStart"/>
      <w:r>
        <w:rPr>
          <w:rFonts w:ascii="Arial" w:hAnsi="Arial" w:cs="Arial"/>
          <w:b/>
          <w:bCs/>
          <w:color w:val="000000"/>
          <w:sz w:val="20"/>
          <w:szCs w:val="20"/>
        </w:rPr>
        <w:t>lakh</w:t>
      </w:r>
      <w:proofErr w:type="gramEnd"/>
      <w:r>
        <w:rPr>
          <w:rFonts w:ascii="Arial" w:hAnsi="Arial" w:cs="Arial"/>
          <w:b/>
          <w:bCs/>
          <w:color w:val="000000"/>
          <w:sz w:val="20"/>
          <w:szCs w:val="20"/>
        </w:rPr>
        <w:t xml:space="preserve"> to ₹20 Lakh</w:t>
      </w:r>
    </w:p>
    <w:p w:rsidR="003E7D1F" w:rsidRDefault="003E7D1F" w:rsidP="003E7D1F">
      <w:r>
        <w:t>RBI/2021-22/83</w:t>
      </w:r>
      <w:r>
        <w:br/>
        <w:t>FIDD.GSSD.CO.BC.No.09/09.01.003/2021-22</w:t>
      </w:r>
    </w:p>
    <w:p w:rsidR="003E7D1F" w:rsidRDefault="003E7D1F" w:rsidP="003E7D1F">
      <w:r>
        <w:t>August 9, 2021</w:t>
      </w:r>
    </w:p>
    <w:p w:rsidR="003E7D1F" w:rsidRDefault="003E7D1F" w:rsidP="003E7D1F">
      <w:r>
        <w:t>The Chairman/ Managing Director/Chief Executive Officer</w:t>
      </w:r>
      <w:r>
        <w:br/>
        <w:t>Public Sector Banks</w:t>
      </w:r>
      <w:r>
        <w:br/>
        <w:t>Private Sector Banks</w:t>
      </w:r>
      <w:r>
        <w:br/>
        <w:t>(including Small Finance Banks)</w:t>
      </w:r>
    </w:p>
    <w:p w:rsidR="003E7D1F" w:rsidRDefault="003E7D1F" w:rsidP="003E7D1F">
      <w:r>
        <w:t>Madam/Dear Sir,</w:t>
      </w:r>
    </w:p>
    <w:p w:rsidR="003E7D1F" w:rsidRDefault="003E7D1F" w:rsidP="003E7D1F">
      <w:pPr>
        <w:rPr>
          <w:b/>
          <w:bCs/>
        </w:rPr>
      </w:pPr>
      <w:r>
        <w:rPr>
          <w:b/>
          <w:bCs/>
        </w:rPr>
        <w:t xml:space="preserve">Enhancement of collateral free loans to Self Help Groups (SHGs) under DAY-NRLM from ₹10 </w:t>
      </w:r>
      <w:proofErr w:type="gramStart"/>
      <w:r>
        <w:rPr>
          <w:b/>
          <w:bCs/>
        </w:rPr>
        <w:t>lakh</w:t>
      </w:r>
      <w:proofErr w:type="gramEnd"/>
      <w:r>
        <w:rPr>
          <w:b/>
          <w:bCs/>
        </w:rPr>
        <w:t xml:space="preserve"> to ₹20 Lakh</w:t>
      </w:r>
    </w:p>
    <w:p w:rsidR="003E7D1F" w:rsidRDefault="003E7D1F" w:rsidP="003E7D1F">
      <w:r>
        <w:t>Please refer to the </w:t>
      </w:r>
      <w:hyperlink r:id="rId41" w:tgtFrame="_blank" w:history="1">
        <w:r>
          <w:rPr>
            <w:rStyle w:val="Hyperlink"/>
          </w:rPr>
          <w:t>Master Circular FIDD.GSSD.CO.BC.No.04/09.01.01/2021-22 dated April 1, 2021</w:t>
        </w:r>
      </w:hyperlink>
      <w:r>
        <w:t xml:space="preserve">, on </w:t>
      </w:r>
      <w:proofErr w:type="spellStart"/>
      <w:r>
        <w:t>Deendayal</w:t>
      </w:r>
      <w:proofErr w:type="spellEnd"/>
      <w:r>
        <w:t xml:space="preserve"> </w:t>
      </w:r>
      <w:proofErr w:type="spellStart"/>
      <w:r>
        <w:t>Antyodaya</w:t>
      </w:r>
      <w:proofErr w:type="spellEnd"/>
      <w:r>
        <w:t xml:space="preserve"> </w:t>
      </w:r>
      <w:proofErr w:type="spellStart"/>
      <w:r>
        <w:t>Yojana</w:t>
      </w:r>
      <w:proofErr w:type="spellEnd"/>
      <w:r>
        <w:t xml:space="preserve"> - National Rural Livelihoods Mission (DAY-NRLM).</w:t>
      </w:r>
    </w:p>
    <w:p w:rsidR="003E7D1F" w:rsidRDefault="003E7D1F" w:rsidP="003E7D1F">
      <w:r>
        <w:t>2. In this connection, the Government of India, vide their </w:t>
      </w:r>
      <w:hyperlink r:id="rId42" w:tgtFrame="_blank" w:history="1">
        <w:r>
          <w:rPr>
            <w:rStyle w:val="Hyperlink"/>
          </w:rPr>
          <w:t>Gazette Notification S.O. 2668(E) dated July 1, 2021</w:t>
        </w:r>
      </w:hyperlink>
      <w:r>
        <w:t>, has notified amendments in the Credit Guarantee Fund for Micro Units (CGFMU) Scheme in paragraph (2) sub-paragraph (xii) of the notification of the Government of India, Ministry of Finance (Department of Financial Services), </w:t>
      </w:r>
      <w:hyperlink r:id="rId43" w:tgtFrame="_blank" w:history="1">
        <w:r>
          <w:rPr>
            <w:rStyle w:val="Hyperlink"/>
          </w:rPr>
          <w:t>number S.O. 1443(E), dated the April 18, 2016</w:t>
        </w:r>
      </w:hyperlink>
      <w:r>
        <w:t>, published in the Gazette of India.</w:t>
      </w:r>
    </w:p>
    <w:p w:rsidR="003E7D1F" w:rsidRDefault="003E7D1F" w:rsidP="003E7D1F">
      <w:r>
        <w:t>3. In view of the above amendment, paragraph 7.4 of </w:t>
      </w:r>
      <w:hyperlink r:id="rId44" w:tgtFrame="_blank" w:history="1">
        <w:r>
          <w:rPr>
            <w:rStyle w:val="Hyperlink"/>
          </w:rPr>
          <w:t>RBI Master Circular FIDD.GSSD.CO.BC.No.04/09.01.01/2021-22 (on DAY-NRLM) dated April 01, 2021</w:t>
        </w:r>
      </w:hyperlink>
      <w:r>
        <w:t> stands modified as under:</w:t>
      </w:r>
    </w:p>
    <w:p w:rsidR="003E7D1F" w:rsidRDefault="003E7D1F" w:rsidP="003E7D1F">
      <w:r>
        <w:t>7.4 Security and Margin:</w:t>
      </w:r>
    </w:p>
    <w:p w:rsidR="003E7D1F" w:rsidRDefault="003E7D1F" w:rsidP="003E7D1F">
      <w:r>
        <w:t>7.4.1 For loans to SHGs up to ₹10.00 lakh, no collateral and no margin will be charged. No lien should be marked against savings bank account of SHGs and no deposits should be insisted upon while sanctioning loans.</w:t>
      </w:r>
    </w:p>
    <w:p w:rsidR="003E7D1F" w:rsidRDefault="003E7D1F" w:rsidP="003E7D1F">
      <w:r>
        <w:t xml:space="preserve">7.4.2 For loans to SHGs above ₹10 </w:t>
      </w:r>
      <w:proofErr w:type="gramStart"/>
      <w:r>
        <w:t>lakh</w:t>
      </w:r>
      <w:proofErr w:type="gramEnd"/>
      <w:r>
        <w:t xml:space="preserve"> and up to ₹20 lakh, no collateral should be charged and no lien should be marked against savings bank account of SHGs. However, the entire loan (irrespective of the loan outstanding, even if it subsequently goes below ₹10 lakh) would be eligible for coverage under Credit Guarantee Fund for Micro Units (CGFMU).”</w:t>
      </w:r>
    </w:p>
    <w:p w:rsidR="003E7D1F" w:rsidRDefault="003E7D1F" w:rsidP="003E7D1F">
      <w:r>
        <w:t>4. All other provisions of the Master Circular remain unchanged.</w:t>
      </w:r>
    </w:p>
    <w:p w:rsidR="003E7D1F" w:rsidRDefault="003E7D1F" w:rsidP="003E7D1F">
      <w:r>
        <w:t>Yours faithfully</w:t>
      </w:r>
    </w:p>
    <w:p w:rsidR="003E7D1F" w:rsidRDefault="003E7D1F" w:rsidP="003E7D1F">
      <w:r>
        <w:t xml:space="preserve">(Kaya </w:t>
      </w:r>
      <w:proofErr w:type="spellStart"/>
      <w:r>
        <w:t>Tripathi</w:t>
      </w:r>
      <w:proofErr w:type="spellEnd"/>
      <w:r>
        <w:t>)</w:t>
      </w:r>
      <w:r>
        <w:br/>
        <w:t>Chief General Manager</w:t>
      </w:r>
    </w:p>
    <w:p w:rsidR="003E7D1F" w:rsidRDefault="003E7D1F" w:rsidP="003E7D1F">
      <w:r>
        <w:t xml:space="preserve">Reference link: </w:t>
      </w:r>
      <w:hyperlink r:id="rId45" w:history="1">
        <w:r>
          <w:rPr>
            <w:rStyle w:val="Hyperlink"/>
          </w:rPr>
          <w:t>https://www.rbi.org.in/Scripts/NotificationUser.aspx?Id=12143&amp;Mode=0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Section 24 of the Banking Regulation Act, 1949 – Maintenance of Statutory Liquidity Ratio (SLR) – Marginal Standing Facility (MSF) - Extension of Relaxation</w:t>
      </w:r>
    </w:p>
    <w:p w:rsidR="003E7D1F" w:rsidRDefault="003E7D1F" w:rsidP="003E7D1F">
      <w:r>
        <w:t>RBI/2021-22/82</w:t>
      </w:r>
      <w:r>
        <w:br/>
        <w:t>DOR.RET.REC.36/12.01.001/2021-22</w:t>
      </w:r>
    </w:p>
    <w:p w:rsidR="003E7D1F" w:rsidRDefault="003E7D1F" w:rsidP="003E7D1F">
      <w:r>
        <w:t>August 09, 2021</w:t>
      </w:r>
    </w:p>
    <w:p w:rsidR="003E7D1F" w:rsidRDefault="003E7D1F" w:rsidP="003E7D1F">
      <w:r>
        <w:t>All Scheduled Banks</w:t>
      </w:r>
    </w:p>
    <w:p w:rsidR="003E7D1F" w:rsidRDefault="003E7D1F" w:rsidP="003E7D1F">
      <w:r>
        <w:t>Madam/Sir</w:t>
      </w:r>
    </w:p>
    <w:p w:rsidR="003E7D1F" w:rsidRDefault="003E7D1F" w:rsidP="003E7D1F">
      <w:pPr>
        <w:rPr>
          <w:b/>
          <w:bCs/>
        </w:rPr>
      </w:pPr>
      <w:r>
        <w:rPr>
          <w:b/>
          <w:bCs/>
        </w:rPr>
        <w:t>Section 24 of the Banking Regulation Act, 1949 – Maintenance of Statutory Liquidity</w:t>
      </w:r>
      <w:r>
        <w:rPr>
          <w:b/>
          <w:bCs/>
        </w:rPr>
        <w:br/>
        <w:t>Ratio (SLR) – Marginal Standing Facility (MSF) - Extension of Relaxation</w:t>
      </w:r>
    </w:p>
    <w:p w:rsidR="003E7D1F" w:rsidRDefault="003E7D1F" w:rsidP="003E7D1F">
      <w:r>
        <w:t>Please refer to </w:t>
      </w:r>
      <w:hyperlink r:id="rId46" w:tgtFrame="_blank" w:history="1">
        <w:r>
          <w:rPr>
            <w:rStyle w:val="Hyperlink"/>
          </w:rPr>
          <w:t>circular DOR.No.Ret.BC.36/12.01.001/2020-21 dated February 05, 2021</w:t>
        </w:r>
      </w:hyperlink>
      <w: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September 30, 2021, providing comfort to banks on their liquidity requirements and also to enable them to meet their Liquidity Coverage Ratio (LCR) requirements.</w:t>
      </w:r>
    </w:p>
    <w:p w:rsidR="003E7D1F" w:rsidRDefault="003E7D1F" w:rsidP="003E7D1F">
      <w:r>
        <w:t>2. As announced in the </w:t>
      </w:r>
      <w:hyperlink r:id="rId47" w:tgtFrame="_blank" w:history="1">
        <w:r>
          <w:rPr>
            <w:rStyle w:val="Hyperlink"/>
          </w:rPr>
          <w:t>Statement on Developmental and Regulatory Policies of August 06, 2021</w:t>
        </w:r>
      </w:hyperlink>
      <w:r>
        <w:t>, with a view to providing comfort to banks on their liquidity requirements, banks are allowed to continue with the MSF relaxation for a further period of three months, i.e., up to December 31, 2021.</w:t>
      </w:r>
    </w:p>
    <w:p w:rsidR="003E7D1F" w:rsidRDefault="003E7D1F" w:rsidP="003E7D1F">
      <w:r>
        <w:t>Yours faithfully</w:t>
      </w:r>
    </w:p>
    <w:p w:rsidR="003E7D1F" w:rsidRDefault="003E7D1F" w:rsidP="003E7D1F">
      <w:r>
        <w:t>(Thomas Mathew)</w:t>
      </w:r>
      <w:r>
        <w:br/>
        <w:t>Chief General Manager</w:t>
      </w:r>
    </w:p>
    <w:p w:rsidR="003E7D1F" w:rsidRDefault="003E7D1F" w:rsidP="003E7D1F">
      <w:r>
        <w:t xml:space="preserve">Reference link: </w:t>
      </w:r>
      <w:hyperlink r:id="rId48" w:history="1">
        <w:r>
          <w:rPr>
            <w:rStyle w:val="Hyperlink"/>
          </w:rPr>
          <w:t>https://www.rbi.org.in/Scripts/NotificationUser.aspx?Id=12142&amp;Mode=0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Guidelines for Implementation of the circular on Opening of Current Accounts by Banks</w:t>
      </w:r>
    </w:p>
    <w:p w:rsidR="003E7D1F" w:rsidRDefault="003E7D1F" w:rsidP="003E7D1F">
      <w:r>
        <w:t>RBI/2021-22/77</w:t>
      </w:r>
      <w:r>
        <w:br/>
        <w:t>DOR.CRE.REC.35/21.04.048/2021-22</w:t>
      </w:r>
    </w:p>
    <w:p w:rsidR="003E7D1F" w:rsidRDefault="003E7D1F" w:rsidP="003E7D1F">
      <w:r>
        <w:t>August 04, 2021</w:t>
      </w:r>
    </w:p>
    <w:p w:rsidR="003E7D1F" w:rsidRDefault="003E7D1F" w:rsidP="003E7D1F">
      <w:r>
        <w:t>To,</w:t>
      </w:r>
    </w:p>
    <w:p w:rsidR="003E7D1F" w:rsidRDefault="003E7D1F" w:rsidP="003E7D1F">
      <w:r>
        <w:t>All Scheduled Commercial Banks</w:t>
      </w:r>
      <w:r>
        <w:br/>
        <w:t>All Payments Banks</w:t>
      </w:r>
    </w:p>
    <w:p w:rsidR="003E7D1F" w:rsidRDefault="003E7D1F" w:rsidP="003E7D1F">
      <w:r>
        <w:t>Madam / Dear Sir,</w:t>
      </w:r>
    </w:p>
    <w:p w:rsidR="003E7D1F" w:rsidRDefault="003E7D1F" w:rsidP="003E7D1F">
      <w:pPr>
        <w:rPr>
          <w:b/>
          <w:bCs/>
        </w:rPr>
      </w:pPr>
      <w:r>
        <w:rPr>
          <w:b/>
          <w:bCs/>
        </w:rPr>
        <w:t>Guidelines for Implementation of the circular on</w:t>
      </w:r>
      <w:r>
        <w:rPr>
          <w:b/>
          <w:bCs/>
        </w:rPr>
        <w:br/>
        <w:t>Opening of Current Accounts by Banks</w:t>
      </w:r>
    </w:p>
    <w:p w:rsidR="003E7D1F" w:rsidRDefault="003E7D1F" w:rsidP="003E7D1F">
      <w:r>
        <w:t>Please refer to </w:t>
      </w:r>
      <w:hyperlink r:id="rId49" w:tgtFrame="_blank" w:history="1">
        <w:r>
          <w:rPr>
            <w:rStyle w:val="Hyperlink"/>
          </w:rPr>
          <w:t xml:space="preserve">circulars </w:t>
        </w:r>
        <w:proofErr w:type="spellStart"/>
        <w:r>
          <w:rPr>
            <w:rStyle w:val="Hyperlink"/>
          </w:rPr>
          <w:t>DOR.No.BP.BC</w:t>
        </w:r>
        <w:proofErr w:type="spellEnd"/>
        <w:r>
          <w:rPr>
            <w:rStyle w:val="Hyperlink"/>
          </w:rPr>
          <w:t>/7/21.04.048/2020-21 dated August 6, 2020</w:t>
        </w:r>
      </w:hyperlink>
      <w:r>
        <w:t>, </w:t>
      </w:r>
      <w:hyperlink r:id="rId50" w:tgtFrame="_blank" w:history="1">
        <w:r>
          <w:rPr>
            <w:rStyle w:val="Hyperlink"/>
          </w:rPr>
          <w:t>DOR.No.BP.BC.27/21.04.048/2020-21 dated November 2, 2020</w:t>
        </w:r>
      </w:hyperlink>
      <w:r>
        <w:t> and </w:t>
      </w:r>
      <w:hyperlink r:id="rId51" w:tgtFrame="_blank" w:history="1">
        <w:r>
          <w:rPr>
            <w:rStyle w:val="Hyperlink"/>
          </w:rPr>
          <w:t>DOR.No.BP.BC.30/21.04.048/2020-21 dated December 14, 2020</w:t>
        </w:r>
      </w:hyperlink>
      <w:r>
        <w:t> on Opening of Current Accounts by Banks - Need for Discipline.</w:t>
      </w:r>
    </w:p>
    <w:p w:rsidR="003E7D1F" w:rsidRDefault="003E7D1F" w:rsidP="003E7D1F">
      <w:r>
        <w:t xml:space="preserve">2. The instructions were issued vide the above circulars in order to enforce credit discipline amongst the borrowers as well as to facilitate better monitoring by the lenders; and for this purpose, a graded approach had been prescribed on opening and operating of current accounts and CC/OD facilities. Banks were required to implement these instructions in a non-disruptive manner while keeping the </w:t>
      </w:r>
      <w:proofErr w:type="spellStart"/>
      <w:r>
        <w:t>bonafide</w:t>
      </w:r>
      <w:proofErr w:type="spellEnd"/>
      <w:r>
        <w:t xml:space="preserve"> business requirements of the borrowers in mind.</w:t>
      </w:r>
    </w:p>
    <w:p w:rsidR="003E7D1F" w:rsidRDefault="003E7D1F" w:rsidP="003E7D1F"/>
    <w:p w:rsidR="003E7D1F" w:rsidRDefault="003E7D1F" w:rsidP="003E7D1F">
      <w:r>
        <w:t>The timeline for implementing the notifications as mentioned in circular and resolving the operational issues is till October 31, 2021. For more details, click on the link below</w:t>
      </w:r>
    </w:p>
    <w:p w:rsidR="003E7D1F" w:rsidRDefault="003E7D1F" w:rsidP="003E7D1F">
      <w:r>
        <w:t xml:space="preserve">Reference link: </w:t>
      </w:r>
      <w:hyperlink r:id="rId52" w:history="1">
        <w:r>
          <w:rPr>
            <w:rStyle w:val="Hyperlink"/>
          </w:rPr>
          <w:t>https://www.rbi.org.in/Scripts/NotificationUser.aspx?Id=12137&amp;Mode=0</w:t>
        </w:r>
      </w:hyperlink>
    </w:p>
    <w:p w:rsidR="003E7D1F" w:rsidRDefault="003E7D1F" w:rsidP="003E7D1F"/>
    <w:p w:rsidR="003E7D1F" w:rsidRDefault="003E7D1F" w:rsidP="003E7D1F"/>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Cassette - Swaps in ATMs</w:t>
      </w:r>
    </w:p>
    <w:p w:rsidR="003E7D1F" w:rsidRDefault="003E7D1F" w:rsidP="003E7D1F">
      <w:r>
        <w:t>RBI/2021-22/71</w:t>
      </w:r>
      <w:r>
        <w:br/>
        <w:t>DCM (</w:t>
      </w:r>
      <w:proofErr w:type="spellStart"/>
      <w:r>
        <w:t>Plg</w:t>
      </w:r>
      <w:proofErr w:type="spellEnd"/>
      <w:r>
        <w:t xml:space="preserve">.) </w:t>
      </w:r>
      <w:proofErr w:type="gramStart"/>
      <w:r>
        <w:t>No.S</w:t>
      </w:r>
      <w:proofErr w:type="gramEnd"/>
      <w:r>
        <w:t>39/10.25.007/2021-22</w:t>
      </w:r>
    </w:p>
    <w:p w:rsidR="003E7D1F" w:rsidRDefault="003E7D1F" w:rsidP="003E7D1F">
      <w:r>
        <w:t>July 12, 2021</w:t>
      </w:r>
    </w:p>
    <w:p w:rsidR="003E7D1F" w:rsidRDefault="003E7D1F" w:rsidP="003E7D1F">
      <w:r>
        <w:t>The Chairman / Managing Director &amp; Chief Executive Officer</w:t>
      </w:r>
      <w:r>
        <w:br/>
        <w:t>All Scheduled Commercial Banks including RRBs</w:t>
      </w:r>
      <w:r>
        <w:br/>
        <w:t>Urban Co-operative Banks / State Co-operative Banks /</w:t>
      </w:r>
      <w:r>
        <w:br/>
        <w:t>District Central Co-operative Banks.</w:t>
      </w:r>
    </w:p>
    <w:p w:rsidR="003E7D1F" w:rsidRDefault="003E7D1F" w:rsidP="003E7D1F">
      <w:r>
        <w:t>Madam / Dear Sir,</w:t>
      </w:r>
    </w:p>
    <w:p w:rsidR="003E7D1F" w:rsidRDefault="003E7D1F" w:rsidP="003E7D1F">
      <w:pPr>
        <w:rPr>
          <w:b/>
          <w:bCs/>
        </w:rPr>
      </w:pPr>
      <w:r>
        <w:rPr>
          <w:b/>
          <w:bCs/>
        </w:rPr>
        <w:t>Cassette - Swaps in ATMs</w:t>
      </w:r>
    </w:p>
    <w:p w:rsidR="003E7D1F" w:rsidRDefault="003E7D1F" w:rsidP="003E7D1F">
      <w:r>
        <w:t>Please refer to our </w:t>
      </w:r>
      <w:hyperlink r:id="rId53" w:tgtFrame="_blank" w:history="1">
        <w:r>
          <w:rPr>
            <w:rStyle w:val="Hyperlink"/>
          </w:rPr>
          <w:t>circular RBI/2017-18/162/DCM (</w:t>
        </w:r>
        <w:proofErr w:type="spellStart"/>
        <w:r>
          <w:rPr>
            <w:rStyle w:val="Hyperlink"/>
          </w:rPr>
          <w:t>Plg</w:t>
        </w:r>
        <w:proofErr w:type="spellEnd"/>
        <w:r>
          <w:rPr>
            <w:rStyle w:val="Hyperlink"/>
          </w:rPr>
          <w:t>.) No.3641/10.25.007/2017-18 dated April 12, 2018</w:t>
        </w:r>
      </w:hyperlink>
      <w: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w:t>
      </w:r>
    </w:p>
    <w:p w:rsidR="003E7D1F" w:rsidRDefault="003E7D1F" w:rsidP="003E7D1F">
      <w:r>
        <w:t>2. In this regard, representations have been received from Indian Banks’ Association on behalf of various banks expressing difficulties in meeting this timeline. Accordingly, it has been decided to extend the timeline for implementation of cassette swap in all ATMs till March 31, 2022.</w:t>
      </w:r>
    </w:p>
    <w:p w:rsidR="003E7D1F" w:rsidRDefault="003E7D1F" w:rsidP="003E7D1F">
      <w:r>
        <w:t>3. Banks shall monitor progress and make the required course correction at the end of every quarter, at the level of Board / ACB and report status within seven days of the end of the quarter, starting from the quarter ended September 2021, to the Chief General Manager-in-Charge, Department of Currency Management, Reserve Bank of India, Central Office, Amar Building, Fourth Floor, Sir P. M. Road, Fort, Mumbai 400 001. The said report should be sent by </w:t>
      </w:r>
      <w:hyperlink r:id="rId54" w:history="1">
        <w:r>
          <w:rPr>
            <w:rStyle w:val="Hyperlink"/>
          </w:rPr>
          <w:t>e-mail</w:t>
        </w:r>
      </w:hyperlink>
      <w:r>
        <w:t>. No hard copy need be sent.</w:t>
      </w:r>
    </w:p>
    <w:p w:rsidR="003E7D1F" w:rsidRDefault="003E7D1F" w:rsidP="003E7D1F">
      <w:r>
        <w:t>Yours faithfully,</w:t>
      </w:r>
    </w:p>
    <w:p w:rsidR="003E7D1F" w:rsidRDefault="003E7D1F" w:rsidP="003E7D1F">
      <w:r>
        <w:t>(</w:t>
      </w:r>
      <w:proofErr w:type="spellStart"/>
      <w:r>
        <w:t>Subrata</w:t>
      </w:r>
      <w:proofErr w:type="spellEnd"/>
      <w:r>
        <w:t xml:space="preserve"> Das)</w:t>
      </w:r>
      <w:r>
        <w:br/>
        <w:t>Chief General Manager-in-Charge</w:t>
      </w:r>
    </w:p>
    <w:p w:rsidR="003E7D1F" w:rsidRDefault="003E7D1F" w:rsidP="003E7D1F">
      <w:r>
        <w:t xml:space="preserve">Reference link: </w:t>
      </w:r>
      <w:hyperlink r:id="rId55" w:history="1">
        <w:r>
          <w:rPr>
            <w:rStyle w:val="Hyperlink"/>
          </w:rPr>
          <w:t>https://www.rbi.org.in/Scripts/NotificationUser.aspx?Id=12130&amp;Mode=0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New Definition of Micro, Small and Medium Enterprises - Addition of Retail and Wholesale Trade</w:t>
      </w:r>
    </w:p>
    <w:p w:rsidR="003E7D1F" w:rsidRDefault="003E7D1F" w:rsidP="003E7D1F">
      <w:r>
        <w:t>RBI/2021-2022/67</w:t>
      </w:r>
      <w:r>
        <w:br/>
        <w:t>FIDD.MSME &amp; NFS.BC.No.13/06.02.31/2021-22</w:t>
      </w:r>
    </w:p>
    <w:p w:rsidR="003E7D1F" w:rsidRDefault="003E7D1F" w:rsidP="003E7D1F">
      <w:r>
        <w:t>July 7, 2021</w:t>
      </w:r>
    </w:p>
    <w:p w:rsidR="003E7D1F" w:rsidRDefault="003E7D1F" w:rsidP="003E7D1F">
      <w:r>
        <w:t>The Chairman/ Managing Director/Chief Executive Officer</w:t>
      </w:r>
      <w:r>
        <w:br/>
        <w:t>All Commercial Banks</w:t>
      </w:r>
      <w:r>
        <w:br/>
        <w:t>(including Small Finance Banks, Local Area Banks and Regional Rural Banks)</w:t>
      </w:r>
      <w:r>
        <w:br/>
        <w:t>All Primary (Urban) Co-operative Banks/State Co-operative Banks</w:t>
      </w:r>
      <w:r>
        <w:br/>
        <w:t>/ District Central Co-operative Banks</w:t>
      </w:r>
      <w:r>
        <w:br/>
        <w:t>All-India Financial Institutions</w:t>
      </w:r>
      <w:r>
        <w:br/>
        <w:t>All Non-Banking Financial Companies</w:t>
      </w:r>
    </w:p>
    <w:p w:rsidR="003E7D1F" w:rsidRDefault="003E7D1F" w:rsidP="003E7D1F">
      <w:r>
        <w:t>Dear Sir/Madam,</w:t>
      </w:r>
    </w:p>
    <w:p w:rsidR="003E7D1F" w:rsidRDefault="003E7D1F" w:rsidP="003E7D1F">
      <w:pPr>
        <w:rPr>
          <w:b/>
          <w:bCs/>
        </w:rPr>
      </w:pPr>
      <w:r>
        <w:rPr>
          <w:b/>
          <w:bCs/>
        </w:rPr>
        <w:t>New Definition of Micro, Small and Medium Enterprises - Addition of Retail and Wholesale Trade</w:t>
      </w:r>
    </w:p>
    <w:p w:rsidR="003E7D1F" w:rsidRDefault="003E7D1F" w:rsidP="003E7D1F">
      <w:r>
        <w:t>Please refer to the </w:t>
      </w:r>
      <w:hyperlink r:id="rId56" w:tgtFrame="_blank" w:history="1">
        <w:r>
          <w:rPr>
            <w:rStyle w:val="Hyperlink"/>
          </w:rPr>
          <w:t>circulars FIDD.MSME &amp; NFS.BC.No.3/06.02.31/2020-21 dated July 2, 2020</w:t>
        </w:r>
      </w:hyperlink>
      <w:r>
        <w:t> on ‘Credit flow to Micro, Small and Medium Enterprises Sector’ and </w:t>
      </w:r>
      <w:hyperlink r:id="rId57" w:tgtFrame="_blank" w:history="1">
        <w:r>
          <w:rPr>
            <w:rStyle w:val="Hyperlink"/>
          </w:rPr>
          <w:t>FIDD.MSME &amp; NFS.BC.No.4/06.02.31/2020-21 dated August 21, 2020</w:t>
        </w:r>
      </w:hyperlink>
      <w:r>
        <w:t>, on ‘New Definition of Micro, Small and Medium Enterprises- clarifications’.</w:t>
      </w:r>
    </w:p>
    <w:p w:rsidR="003E7D1F" w:rsidRDefault="003E7D1F" w:rsidP="003E7D1F">
      <w:r>
        <w:t>2. In this connection, Ministry of Micro, Small and Medium Enterprises vide </w:t>
      </w:r>
      <w:hyperlink r:id="rId58" w:tgtFrame="_blank" w:history="1">
        <w:r>
          <w:rPr>
            <w:rStyle w:val="Hyperlink"/>
          </w:rPr>
          <w:t>Office Memorandum (OM) No. 5/2(2)/2021-E/P &amp; G/Policy dated July 2, 2021</w:t>
        </w:r>
      </w:hyperlink>
      <w:r>
        <w:t xml:space="preserve">, has decided to include Retail and Wholesale trade as MSMEs for the limited purpose of Priority Sector Lending and they would be allowed to be registered on </w:t>
      </w:r>
      <w:proofErr w:type="spellStart"/>
      <w:r>
        <w:t>Udyam</w:t>
      </w:r>
      <w:proofErr w:type="spellEnd"/>
      <w:r>
        <w:t xml:space="preserve"> Registration Portal for the following NIC Codes and activities mentioned against them:</w:t>
      </w:r>
    </w:p>
    <w:tbl>
      <w:tblPr>
        <w:tblW w:w="3500" w:type="pct"/>
        <w:jc w:val="center"/>
        <w:tblBorders>
          <w:top w:val="single" w:sz="6" w:space="0" w:color="EFD1AA"/>
          <w:left w:val="single" w:sz="6" w:space="0" w:color="EFD1AA"/>
          <w:bottom w:val="single" w:sz="6" w:space="0" w:color="EFD1AA"/>
          <w:right w:val="single" w:sz="6" w:space="0" w:color="EFD1AA"/>
        </w:tblBorders>
        <w:tblCellMar>
          <w:left w:w="0" w:type="dxa"/>
          <w:right w:w="0" w:type="dxa"/>
        </w:tblCellMar>
        <w:tblLook w:val="04A0" w:firstRow="1" w:lastRow="0" w:firstColumn="1" w:lastColumn="0" w:noHBand="0" w:noVBand="1"/>
      </w:tblPr>
      <w:tblGrid>
        <w:gridCol w:w="441"/>
        <w:gridCol w:w="5866"/>
      </w:tblGrid>
      <w:tr w:rsidR="003E7D1F" w:rsidTr="003E7D1F">
        <w:trPr>
          <w:jc w:val="center"/>
        </w:trPr>
        <w:tc>
          <w:tcPr>
            <w:tcW w:w="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E7D1F" w:rsidRDefault="003E7D1F">
            <w:r>
              <w:t>45</w:t>
            </w:r>
          </w:p>
        </w:tc>
        <w:tc>
          <w:tcPr>
            <w:tcW w:w="4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E7D1F" w:rsidRDefault="003E7D1F">
            <w:r>
              <w:t>Wholesale and retail trade and repair of motor vehicles and motorcycles</w:t>
            </w:r>
          </w:p>
        </w:tc>
      </w:tr>
      <w:tr w:rsidR="003E7D1F" w:rsidTr="003E7D1F">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E7D1F" w:rsidRDefault="003E7D1F">
            <w: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E7D1F" w:rsidRDefault="003E7D1F">
            <w:r>
              <w:t>Wholesale trade except of motor vehicles and motorcycles</w:t>
            </w:r>
          </w:p>
        </w:tc>
      </w:tr>
      <w:tr w:rsidR="003E7D1F" w:rsidTr="003E7D1F">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E7D1F" w:rsidRDefault="003E7D1F">
            <w: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E7D1F" w:rsidRDefault="003E7D1F">
            <w:r>
              <w:t>Retail trade except of motor vehicles and motorcycles</w:t>
            </w:r>
          </w:p>
        </w:tc>
      </w:tr>
    </w:tbl>
    <w:p w:rsidR="003E7D1F" w:rsidRDefault="003E7D1F" w:rsidP="003E7D1F">
      <w:r>
        <w:t xml:space="preserve">3. The Enterprises having </w:t>
      </w:r>
      <w:proofErr w:type="spellStart"/>
      <w:r>
        <w:t>Udyog</w:t>
      </w:r>
      <w:proofErr w:type="spellEnd"/>
      <w:r>
        <w:t xml:space="preserve"> </w:t>
      </w:r>
      <w:proofErr w:type="spellStart"/>
      <w:r>
        <w:t>Aadhaar</w:t>
      </w:r>
      <w:proofErr w:type="spellEnd"/>
      <w:r>
        <w:t xml:space="preserve"> Memorandum (UAM) under above three NIC Codes are now allowed to migrate to </w:t>
      </w:r>
      <w:proofErr w:type="spellStart"/>
      <w:r>
        <w:t>Udyam</w:t>
      </w:r>
      <w:proofErr w:type="spellEnd"/>
      <w:r>
        <w:t xml:space="preserve"> Registration Portal or file </w:t>
      </w:r>
      <w:proofErr w:type="spellStart"/>
      <w:r>
        <w:t>Udyam</w:t>
      </w:r>
      <w:proofErr w:type="spellEnd"/>
      <w:r>
        <w:t xml:space="preserve"> Registration afresh.</w:t>
      </w:r>
    </w:p>
    <w:p w:rsidR="003E7D1F" w:rsidRDefault="003E7D1F" w:rsidP="003E7D1F">
      <w:r>
        <w:t>Yours faithfully</w:t>
      </w:r>
    </w:p>
    <w:p w:rsidR="003E7D1F" w:rsidRDefault="003E7D1F" w:rsidP="003E7D1F">
      <w:r>
        <w:t xml:space="preserve">(Kaya </w:t>
      </w:r>
      <w:proofErr w:type="spellStart"/>
      <w:r>
        <w:t>Tripathi</w:t>
      </w:r>
      <w:proofErr w:type="spellEnd"/>
      <w:r>
        <w:t>)</w:t>
      </w:r>
      <w:r>
        <w:br/>
        <w:t>Chief General Manager</w:t>
      </w:r>
    </w:p>
    <w:p w:rsidR="003E7D1F" w:rsidRDefault="003E7D1F" w:rsidP="003E7D1F">
      <w:r>
        <w:t xml:space="preserve">Reference link: </w:t>
      </w:r>
      <w:hyperlink r:id="rId59" w:history="1">
        <w:r>
          <w:rPr>
            <w:rStyle w:val="Hyperlink"/>
          </w:rPr>
          <w:t>https://www.rbi.org.in/Scripts/NotificationUser.aspx?Id=12126&amp;Mode=0</w:t>
        </w:r>
      </w:hyperlink>
    </w:p>
    <w:p w:rsidR="003E7D1F" w:rsidRDefault="003E7D1F" w:rsidP="003E7D1F"/>
    <w:p w:rsidR="003E7D1F" w:rsidRDefault="003E7D1F" w:rsidP="003E7D1F">
      <w:r>
        <w:br w:type="page"/>
      </w:r>
    </w:p>
    <w:p w:rsidR="003E7D1F" w:rsidRDefault="003E7D1F" w:rsidP="003E7D1F">
      <w:pPr>
        <w:rPr>
          <w:rFonts w:ascii="Arial" w:hAnsi="Arial" w:cs="Arial"/>
          <w:b/>
          <w:bCs/>
          <w:color w:val="000000"/>
          <w:sz w:val="20"/>
          <w:szCs w:val="20"/>
        </w:rPr>
      </w:pPr>
      <w:r>
        <w:rPr>
          <w:rFonts w:ascii="Arial" w:hAnsi="Arial" w:cs="Arial"/>
          <w:b/>
          <w:bCs/>
          <w:color w:val="000000"/>
          <w:sz w:val="20"/>
          <w:szCs w:val="20"/>
        </w:rPr>
        <w:lastRenderedPageBreak/>
        <w:t>Review of Instructions on Interest on overdue domestic deposits</w:t>
      </w:r>
    </w:p>
    <w:p w:rsidR="003E7D1F" w:rsidRDefault="003E7D1F" w:rsidP="003E7D1F">
      <w:r>
        <w:t>RBI/2021-22/66</w:t>
      </w:r>
      <w:r>
        <w:br/>
        <w:t>DoR.SPE.REC.29/13.03.00/2021-2022</w:t>
      </w:r>
    </w:p>
    <w:p w:rsidR="003E7D1F" w:rsidRDefault="003E7D1F" w:rsidP="003E7D1F">
      <w:r>
        <w:t>July 02, 2021</w:t>
      </w:r>
    </w:p>
    <w:p w:rsidR="003E7D1F" w:rsidRDefault="003E7D1F" w:rsidP="003E7D1F">
      <w:r>
        <w:t>All Scheduled Commercial Banks (including RRBs)</w:t>
      </w:r>
      <w:r>
        <w:br/>
        <w:t>All Small Finance Banks</w:t>
      </w:r>
      <w:r>
        <w:br/>
        <w:t>All Local Area Banks</w:t>
      </w:r>
      <w:r>
        <w:br/>
        <w:t>All Primary (Urban) Co-operative Banks/ District Central Co-operative Banks/ State Co-operative Banks</w:t>
      </w:r>
    </w:p>
    <w:p w:rsidR="003E7D1F" w:rsidRDefault="003E7D1F" w:rsidP="003E7D1F">
      <w:r>
        <w:t>Dear Sir / Madam,</w:t>
      </w:r>
    </w:p>
    <w:p w:rsidR="003E7D1F" w:rsidRDefault="003E7D1F" w:rsidP="003E7D1F">
      <w:pPr>
        <w:rPr>
          <w:b/>
          <w:bCs/>
        </w:rPr>
      </w:pPr>
      <w:r>
        <w:rPr>
          <w:b/>
          <w:bCs/>
        </w:rPr>
        <w:t>Review of Instructions on Interest on overdue domestic deposits</w:t>
      </w:r>
    </w:p>
    <w:p w:rsidR="003E7D1F" w:rsidRDefault="003E7D1F" w:rsidP="003E7D1F">
      <w:r>
        <w:t>Please refer to Section 9 (b) of </w:t>
      </w:r>
      <w:hyperlink r:id="rId60" w:tgtFrame="_blank" w:history="1">
        <w:r>
          <w:rPr>
            <w:rStyle w:val="Hyperlink"/>
          </w:rPr>
          <w:t>Master Direction - Reserve Bank of India (Interest Rate on Deposits) Directions, 2016 dated March 3, 2016</w:t>
        </w:r>
      </w:hyperlink>
      <w:r>
        <w:t>, and the </w:t>
      </w:r>
      <w:hyperlink r:id="rId61" w:tgtFrame="_blank" w:history="1">
        <w:r>
          <w:rPr>
            <w:rStyle w:val="Hyperlink"/>
          </w:rPr>
          <w:t>Master Direction - Reserve Bank of India (Co-operative Banks - Interest Rate on Deposits) Directions, 2016 dated May 12, 2016</w:t>
        </w:r>
      </w:hyperlink>
      <w:r>
        <w:t> in terms of which if a Term Deposit matures and proceeds are unpaid, the amount left unclaimed with the bank shall attract rate of interest as applicable to savings deposits.</w:t>
      </w:r>
    </w:p>
    <w:p w:rsidR="003E7D1F" w:rsidRDefault="003E7D1F" w:rsidP="003E7D1F">
      <w:r>
        <w:t>2. On a review of these instructions, it has been decided that if a Term Deposit (TD) matures and proceeds are unpaid, the amount left unclaimed with the bank shall attract rate of interest as applicable to savings account or the contracted rate of interest on the matured TD, whichever is lower.</w:t>
      </w:r>
    </w:p>
    <w:p w:rsidR="003E7D1F" w:rsidRDefault="003E7D1F" w:rsidP="003E7D1F">
      <w:r>
        <w:t>3. The relevant section of Master Directions are amended accordingly as indicated in the </w:t>
      </w:r>
      <w:hyperlink r:id="rId62" w:anchor="AN1" w:history="1">
        <w:r>
          <w:rPr>
            <w:rStyle w:val="Hyperlink"/>
          </w:rPr>
          <w:t>Annex</w:t>
        </w:r>
      </w:hyperlink>
      <w:r>
        <w:t>.</w:t>
      </w:r>
    </w:p>
    <w:p w:rsidR="003E7D1F" w:rsidRDefault="003E7D1F" w:rsidP="003E7D1F">
      <w:r>
        <w:t>Yours faithfully,</w:t>
      </w:r>
    </w:p>
    <w:p w:rsidR="003E7D1F" w:rsidRDefault="003E7D1F" w:rsidP="003E7D1F">
      <w:r>
        <w:t>(Thomas Mathew)</w:t>
      </w:r>
      <w:r>
        <w:br/>
        <w:t>Chief General Manager</w:t>
      </w:r>
    </w:p>
    <w:p w:rsidR="003E7D1F" w:rsidRDefault="003E7D1F" w:rsidP="003E7D1F">
      <w:r>
        <w:t xml:space="preserve">Reference link: </w:t>
      </w:r>
      <w:hyperlink r:id="rId63" w:history="1">
        <w:r>
          <w:rPr>
            <w:rStyle w:val="Hyperlink"/>
          </w:rPr>
          <w:t>https://www.rbi.org.in/Scripts/NotificationUser.aspx?Id=12125&amp;Mode=0</w:t>
        </w:r>
      </w:hyperlink>
    </w:p>
    <w:p w:rsidR="003E7D1F" w:rsidRDefault="003E7D1F" w:rsidP="003E7D1F"/>
    <w:p w:rsidR="003E7D1F" w:rsidRDefault="003E7D1F" w:rsidP="003E7D1F">
      <w:r>
        <w:br w:type="page"/>
      </w:r>
    </w:p>
    <w:p w:rsidR="003E7D1F" w:rsidRDefault="003E7D1F"/>
    <w:sectPr w:rsidR="003E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03EC2"/>
    <w:multiLevelType w:val="multilevel"/>
    <w:tmpl w:val="D784774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1F"/>
    <w:rsid w:val="003E7D1F"/>
    <w:rsid w:val="00CF1D0F"/>
    <w:rsid w:val="00D749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E243"/>
  <w15:chartTrackingRefBased/>
  <w15:docId w15:val="{2D5B4792-B572-440D-8FFB-E7222BFE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D1F"/>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7D1F"/>
    <w:rPr>
      <w:color w:val="0563C1" w:themeColor="hyperlink"/>
      <w:u w:val="single"/>
    </w:rPr>
  </w:style>
  <w:style w:type="table" w:styleId="TableGrid">
    <w:name w:val="Table Grid"/>
    <w:basedOn w:val="TableNormal"/>
    <w:uiPriority w:val="39"/>
    <w:rsid w:val="00D7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6002">
      <w:bodyDiv w:val="1"/>
      <w:marLeft w:val="0"/>
      <w:marRight w:val="0"/>
      <w:marTop w:val="0"/>
      <w:marBottom w:val="0"/>
      <w:divBdr>
        <w:top w:val="none" w:sz="0" w:space="0" w:color="auto"/>
        <w:left w:val="none" w:sz="0" w:space="0" w:color="auto"/>
        <w:bottom w:val="none" w:sz="0" w:space="0" w:color="auto"/>
        <w:right w:val="none" w:sz="0" w:space="0" w:color="auto"/>
      </w:divBdr>
    </w:div>
    <w:div w:id="412823055">
      <w:bodyDiv w:val="1"/>
      <w:marLeft w:val="0"/>
      <w:marRight w:val="0"/>
      <w:marTop w:val="0"/>
      <w:marBottom w:val="0"/>
      <w:divBdr>
        <w:top w:val="none" w:sz="0" w:space="0" w:color="auto"/>
        <w:left w:val="none" w:sz="0" w:space="0" w:color="auto"/>
        <w:bottom w:val="none" w:sz="0" w:space="0" w:color="auto"/>
        <w:right w:val="none" w:sz="0" w:space="0" w:color="auto"/>
      </w:divBdr>
    </w:div>
    <w:div w:id="471562571">
      <w:bodyDiv w:val="1"/>
      <w:marLeft w:val="0"/>
      <w:marRight w:val="0"/>
      <w:marTop w:val="0"/>
      <w:marBottom w:val="0"/>
      <w:divBdr>
        <w:top w:val="none" w:sz="0" w:space="0" w:color="auto"/>
        <w:left w:val="none" w:sz="0" w:space="0" w:color="auto"/>
        <w:bottom w:val="none" w:sz="0" w:space="0" w:color="auto"/>
        <w:right w:val="none" w:sz="0" w:space="0" w:color="auto"/>
      </w:divBdr>
    </w:div>
    <w:div w:id="485782847">
      <w:bodyDiv w:val="1"/>
      <w:marLeft w:val="0"/>
      <w:marRight w:val="0"/>
      <w:marTop w:val="0"/>
      <w:marBottom w:val="0"/>
      <w:divBdr>
        <w:top w:val="none" w:sz="0" w:space="0" w:color="auto"/>
        <w:left w:val="none" w:sz="0" w:space="0" w:color="auto"/>
        <w:bottom w:val="none" w:sz="0" w:space="0" w:color="auto"/>
        <w:right w:val="none" w:sz="0" w:space="0" w:color="auto"/>
      </w:divBdr>
    </w:div>
    <w:div w:id="534851947">
      <w:bodyDiv w:val="1"/>
      <w:marLeft w:val="0"/>
      <w:marRight w:val="0"/>
      <w:marTop w:val="0"/>
      <w:marBottom w:val="0"/>
      <w:divBdr>
        <w:top w:val="none" w:sz="0" w:space="0" w:color="auto"/>
        <w:left w:val="none" w:sz="0" w:space="0" w:color="auto"/>
        <w:bottom w:val="none" w:sz="0" w:space="0" w:color="auto"/>
        <w:right w:val="none" w:sz="0" w:space="0" w:color="auto"/>
      </w:divBdr>
    </w:div>
    <w:div w:id="984892672">
      <w:bodyDiv w:val="1"/>
      <w:marLeft w:val="0"/>
      <w:marRight w:val="0"/>
      <w:marTop w:val="0"/>
      <w:marBottom w:val="0"/>
      <w:divBdr>
        <w:top w:val="none" w:sz="0" w:space="0" w:color="auto"/>
        <w:left w:val="none" w:sz="0" w:space="0" w:color="auto"/>
        <w:bottom w:val="none" w:sz="0" w:space="0" w:color="auto"/>
        <w:right w:val="none" w:sz="0" w:space="0" w:color="auto"/>
      </w:divBdr>
    </w:div>
    <w:div w:id="1273442929">
      <w:bodyDiv w:val="1"/>
      <w:marLeft w:val="0"/>
      <w:marRight w:val="0"/>
      <w:marTop w:val="0"/>
      <w:marBottom w:val="0"/>
      <w:divBdr>
        <w:top w:val="none" w:sz="0" w:space="0" w:color="auto"/>
        <w:left w:val="none" w:sz="0" w:space="0" w:color="auto"/>
        <w:bottom w:val="none" w:sz="0" w:space="0" w:color="auto"/>
        <w:right w:val="none" w:sz="0" w:space="0" w:color="auto"/>
      </w:divBdr>
    </w:div>
    <w:div w:id="213505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docs.rbi.org.in/rdocs/Content/PDFs/OSDT31012019.pdf" TargetMode="External"/><Relationship Id="rId18" Type="http://schemas.openxmlformats.org/officeDocument/2006/relationships/hyperlink" Target="https://rbi.org.in/" TargetMode="External"/><Relationship Id="rId26" Type="http://schemas.openxmlformats.org/officeDocument/2006/relationships/hyperlink" Target="https://www.rbi.org.in/Scripts/NotificationUser.aspx?Id=11945&amp;Mode=0" TargetMode="External"/><Relationship Id="rId39" Type="http://schemas.openxmlformats.org/officeDocument/2006/relationships/hyperlink" Target="https://www.rbi.org.in/Scripts/NotificationUser.aspx?Id=12144&amp;Mode=0" TargetMode="External"/><Relationship Id="rId21" Type="http://schemas.openxmlformats.org/officeDocument/2006/relationships/hyperlink" Target="https://www.rbi.org.in/Scripts/NotificationUser.aspx?Id=12187&amp;Mode=0" TargetMode="External"/><Relationship Id="rId34" Type="http://schemas.openxmlformats.org/officeDocument/2006/relationships/hyperlink" Target="https://www.rbi.org.in/Scripts/NotificationUser.aspx?Id=12166&amp;Mode=0" TargetMode="External"/><Relationship Id="rId42" Type="http://schemas.openxmlformats.org/officeDocument/2006/relationships/hyperlink" Target="https://rbidocs.rbi.org.in/rdocs/content/pdfs/CGFMUN01072021.pdf" TargetMode="External"/><Relationship Id="rId47" Type="http://schemas.openxmlformats.org/officeDocument/2006/relationships/hyperlink" Target="https://rbi.org.in/Scripts/BS_PressReleaseDisplay.aspx?prid=52010" TargetMode="External"/><Relationship Id="rId50" Type="http://schemas.openxmlformats.org/officeDocument/2006/relationships/hyperlink" Target="https://www.rbi.org.in/Scripts/NotificationUser.aspx?Id=11990&amp;Mode=0" TargetMode="External"/><Relationship Id="rId55" Type="http://schemas.openxmlformats.org/officeDocument/2006/relationships/hyperlink" Target="https://www.rbi.org.in/Scripts/NotificationUser.aspx?Id=12130&amp;Mode=0" TargetMode="External"/><Relationship Id="rId63" Type="http://schemas.openxmlformats.org/officeDocument/2006/relationships/hyperlink" Target="https://www.rbi.org.in/Scripts/NotificationUser.aspx?Id=12125&amp;Mode=0" TargetMode="External"/><Relationship Id="rId7" Type="http://schemas.openxmlformats.org/officeDocument/2006/relationships/hyperlink" Target="https://www.rbi.org.in/Scripts/BS_ViewMasCirculardetails.aspx?id=12171" TargetMode="External"/><Relationship Id="rId2" Type="http://schemas.openxmlformats.org/officeDocument/2006/relationships/styles" Target="styles.xml"/><Relationship Id="rId16" Type="http://schemas.openxmlformats.org/officeDocument/2006/relationships/hyperlink" Target="https://www.rbi.org.in/Scripts/NotificationUser.aspx?Id=12192&amp;Mode=0" TargetMode="External"/><Relationship Id="rId20" Type="http://schemas.openxmlformats.org/officeDocument/2006/relationships/hyperlink" Target="https://www.rbi.org.in/Scripts/NotificationUser.aspx?Id=12187&amp;Mode=0" TargetMode="External"/><Relationship Id="rId29" Type="http://schemas.openxmlformats.org/officeDocument/2006/relationships/hyperlink" Target="https://www.rbi.org.in/Scripts/BS_ViewMasCirculardetails.aspx?id=9908" TargetMode="External"/><Relationship Id="rId41" Type="http://schemas.openxmlformats.org/officeDocument/2006/relationships/hyperlink" Target="https://www.rbi.org.in/Scripts/BS_ViewMasCirculardetails.aspx?id=12062" TargetMode="External"/><Relationship Id="rId54" Type="http://schemas.openxmlformats.org/officeDocument/2006/relationships/hyperlink" Target="mailto:dcmtaskforce@rbi.org.in" TargetMode="External"/><Relationship Id="rId62" Type="http://schemas.openxmlformats.org/officeDocument/2006/relationships/hyperlink" Target="https://www.rbi.org.in/Scripts/NotificationUser.aspx?Id=12125&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213&amp;Mode=0" TargetMode="External"/><Relationship Id="rId11" Type="http://schemas.openxmlformats.org/officeDocument/2006/relationships/hyperlink" Target="https://rbidocs.rbi.org.in/rdocs/Content/PDFs/BOS2006_2302017.pdf" TargetMode="External"/><Relationship Id="rId24" Type="http://schemas.openxmlformats.org/officeDocument/2006/relationships/hyperlink" Target="https://www.rbi.org.in/Scripts/NotificationUser.aspx?Id=12185&amp;Mode=0" TargetMode="External"/><Relationship Id="rId32" Type="http://schemas.openxmlformats.org/officeDocument/2006/relationships/hyperlink" Target="https://www.rbi.org.in/Scripts/NotificationUser.aspx?Id=12171&amp;Mode=0" TargetMode="External"/><Relationship Id="rId37" Type="http://schemas.openxmlformats.org/officeDocument/2006/relationships/hyperlink" Target="https://www.rbi.org.in/Scripts/NotificationUser.aspx?Id=12164&amp;Mode=0" TargetMode="External"/><Relationship Id="rId40" Type="http://schemas.openxmlformats.org/officeDocument/2006/relationships/hyperlink" Target="https://www.rbi.org.in/Scripts/NotificationUser.aspx?Id=12144&amp;Mode=0" TargetMode="External"/><Relationship Id="rId45" Type="http://schemas.openxmlformats.org/officeDocument/2006/relationships/hyperlink" Target="https://www.rbi.org.in/Scripts/NotificationUser.aspx?Id=12143&amp;Mode=0" TargetMode="External"/><Relationship Id="rId53" Type="http://schemas.openxmlformats.org/officeDocument/2006/relationships/hyperlink" Target="https://rbi.org.in/Scripts/NotificationUser.aspx?Id=11256&amp;Mode=0" TargetMode="External"/><Relationship Id="rId58" Type="http://schemas.openxmlformats.org/officeDocument/2006/relationships/hyperlink" Target="https://rbidocs.rbi.org.in/rdocs/content/pdfs/OMTRADER07072021.pdf" TargetMode="External"/><Relationship Id="rId5" Type="http://schemas.openxmlformats.org/officeDocument/2006/relationships/hyperlink" Target="https://www.rbi.org.in/Scripts/NotificationUser.aspx?Id=12083&amp;Mode=0" TargetMode="External"/><Relationship Id="rId15" Type="http://schemas.openxmlformats.org/officeDocument/2006/relationships/hyperlink" Target="https://rbidocs.rbi.org.in/rdocs/content/pdfs/RBIOS2021_121121.pdf" TargetMode="External"/><Relationship Id="rId23" Type="http://schemas.openxmlformats.org/officeDocument/2006/relationships/hyperlink" Target="https://www.rbi.org.in/Scripts/NotificationUser.aspx?Id=12185&amp;Mode=0" TargetMode="External"/><Relationship Id="rId28" Type="http://schemas.openxmlformats.org/officeDocument/2006/relationships/hyperlink" Target="https://www.rbi.org.in/Scripts/NotificationUser.aspx?Id=12184&amp;Mode=0" TargetMode="External"/><Relationship Id="rId36" Type="http://schemas.openxmlformats.org/officeDocument/2006/relationships/hyperlink" Target="https://rbi.org.in/Scripts/BS_ViewMasCirculardetails.aspx?id=9849" TargetMode="External"/><Relationship Id="rId49" Type="http://schemas.openxmlformats.org/officeDocument/2006/relationships/hyperlink" Target="https://www.rbi.org.in/Scripts/NotificationUser.aspx?Id=11945&amp;Mode=0" TargetMode="External"/><Relationship Id="rId57" Type="http://schemas.openxmlformats.org/officeDocument/2006/relationships/hyperlink" Target="https://www.rbi.org.in/Scripts/NotificationUser.aspx?Id=11951&amp;Mode=0" TargetMode="External"/><Relationship Id="rId61" Type="http://schemas.openxmlformats.org/officeDocument/2006/relationships/hyperlink" Target="https://www.rbi.org.in/Scripts/BS_ViewMasDirections.aspx?id=10394" TargetMode="External"/><Relationship Id="rId10" Type="http://schemas.openxmlformats.org/officeDocument/2006/relationships/hyperlink" Target="https://rbi.org.in/Scripts/NotificationUser.aspx?Id=11461&amp;Mode=0" TargetMode="External"/><Relationship Id="rId19" Type="http://schemas.openxmlformats.org/officeDocument/2006/relationships/hyperlink" Target="https://www.rbi.org.in/Scripts/NotificationUser.aspx?Id=12187&amp;Mode=0" TargetMode="External"/><Relationship Id="rId31" Type="http://schemas.openxmlformats.org/officeDocument/2006/relationships/hyperlink" Target="https://www.rbi.org.in/Scripts/NotificationUser.aspx?Id=12171&amp;Mode=0" TargetMode="External"/><Relationship Id="rId44" Type="http://schemas.openxmlformats.org/officeDocument/2006/relationships/hyperlink" Target="https://www.rbi.org.in/Scripts/BS_ViewMasCirculardetails.aspx?id=12062" TargetMode="External"/><Relationship Id="rId52" Type="http://schemas.openxmlformats.org/officeDocument/2006/relationships/hyperlink" Target="https://www.rbi.org.in/Scripts/NotificationUser.aspx?Id=12137&amp;Mode=0" TargetMode="External"/><Relationship Id="rId60" Type="http://schemas.openxmlformats.org/officeDocument/2006/relationships/hyperlink" Target="https://www.rbi.org.in/Scripts/BS_ViewMasDirections.aspx?id=10296"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Scripts/NotificationUser.aspx?Id=11220&amp;Mode=0" TargetMode="External"/><Relationship Id="rId14" Type="http://schemas.openxmlformats.org/officeDocument/2006/relationships/hyperlink" Target="https://rbidocs.rbi.org.in/rdocs/content/pdfs/RBIOS2021_121121_A.pdf" TargetMode="External"/><Relationship Id="rId22" Type="http://schemas.openxmlformats.org/officeDocument/2006/relationships/hyperlink" Target="https://rbi.org.in/Scripts/BS_ViewMasCirculardetails.aspx?id=9850" TargetMode="External"/><Relationship Id="rId27" Type="http://schemas.openxmlformats.org/officeDocument/2006/relationships/hyperlink" Target="https://www.rbi.org.in/Scripts/NotificationUser.aspx?Id=12184&amp;Mode=0" TargetMode="External"/><Relationship Id="rId30" Type="http://schemas.openxmlformats.org/officeDocument/2006/relationships/hyperlink" Target="https://www.rbi.org.in/Scripts/NotificationUser.aspx?Id=12171&amp;Mode=0" TargetMode="External"/><Relationship Id="rId35" Type="http://schemas.openxmlformats.org/officeDocument/2006/relationships/hyperlink" Target="https://www.rbi.org.in/Scripts/NotificationUser.aspx?Id=12166&amp;Mode=0" TargetMode="External"/><Relationship Id="rId43" Type="http://schemas.openxmlformats.org/officeDocument/2006/relationships/hyperlink" Target="https://rbidocs.rbi.org.in/rdocs/content/pdfs/CGFMUN18042016.pdf" TargetMode="External"/><Relationship Id="rId48" Type="http://schemas.openxmlformats.org/officeDocument/2006/relationships/hyperlink" Target="https://www.rbi.org.in/Scripts/NotificationUser.aspx?Id=12142&amp;Mode=0" TargetMode="External"/><Relationship Id="rId56" Type="http://schemas.openxmlformats.org/officeDocument/2006/relationships/hyperlink" Target="https://www.rbi.org.in/Scripts/NotificationUser.aspx?Id=11934&amp;Mode=0" TargetMode="External"/><Relationship Id="rId64" Type="http://schemas.openxmlformats.org/officeDocument/2006/relationships/fontTable" Target="fontTable.xml"/><Relationship Id="rId8" Type="http://schemas.openxmlformats.org/officeDocument/2006/relationships/hyperlink" Target="https://www.rbi.org.in/Scripts/NotificationUser.aspx?Id=12194&amp;Mode=0" TargetMode="External"/><Relationship Id="rId51" Type="http://schemas.openxmlformats.org/officeDocument/2006/relationships/hyperlink" Target="https://www.rbi.org.in/Scripts/NotificationUser.aspx?Id=12007&amp;Mode=0" TargetMode="External"/><Relationship Id="rId3" Type="http://schemas.openxmlformats.org/officeDocument/2006/relationships/settings" Target="settings.xml"/><Relationship Id="rId12" Type="http://schemas.openxmlformats.org/officeDocument/2006/relationships/hyperlink" Target="https://rbidocs.rbi.org.in/rdocs/Content/PDFs/NBFC23022018.pdf" TargetMode="External"/><Relationship Id="rId17" Type="http://schemas.openxmlformats.org/officeDocument/2006/relationships/hyperlink" Target="https://www.rbi.org.in/Scripts/BS_ViewMasCirculardetails.aspx?id=9813" TargetMode="External"/><Relationship Id="rId25" Type="http://schemas.openxmlformats.org/officeDocument/2006/relationships/hyperlink" Target="https://www.rbi.org.in/Scripts/NotificationUser.aspx?Id=12185&amp;Mode=0" TargetMode="External"/><Relationship Id="rId33" Type="http://schemas.openxmlformats.org/officeDocument/2006/relationships/hyperlink" Target="https://www.rbi.org.in/Scripts/BS_PressReleaseDisplay.aspx?prid=49920" TargetMode="External"/><Relationship Id="rId38" Type="http://schemas.openxmlformats.org/officeDocument/2006/relationships/hyperlink" Target="https://www.rbi.org.in/Scripts/NotificationUser.aspx?Id=12164&amp;Mode=0" TargetMode="External"/><Relationship Id="rId46" Type="http://schemas.openxmlformats.org/officeDocument/2006/relationships/hyperlink" Target="https://www.rbi.org.in/Scripts/NotificationUser.aspx?Id=12021&amp;Mode=0" TargetMode="External"/><Relationship Id="rId59" Type="http://schemas.openxmlformats.org/officeDocument/2006/relationships/hyperlink" Target="https://www.rbi.org.in/Scripts/NotificationUser.aspx?Id=1212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4321</Words>
  <Characters>24632</Characters>
  <Application>Microsoft Office Word</Application>
  <DocSecurity>0</DocSecurity>
  <Lines>205</Lines>
  <Paragraphs>57</Paragraphs>
  <ScaleCrop>false</ScaleCrop>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2022-02-02T05:14:00Z</dcterms:created>
  <dcterms:modified xsi:type="dcterms:W3CDTF">2022-02-08T07:35:00Z</dcterms:modified>
</cp:coreProperties>
</file>